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92D1">
      <w:pPr>
        <w:pStyle w:val="6"/>
        <w:rPr>
          <w:rFonts w:ascii="Times New Roman" w:hAnsi="Times New Roman"/>
        </w:rPr>
      </w:pPr>
      <w:r>
        <w:rPr>
          <w:rFonts w:ascii="Times New Roman" w:hAnsi="Times New Roman"/>
        </w:rPr>
        <w:t>项目需求书（医疗器械）</w:t>
      </w:r>
    </w:p>
    <w:p w14:paraId="0ADB7A73">
      <w:pPr>
        <w:spacing w:line="360" w:lineRule="auto"/>
        <w:ind w:firstLine="480" w:firstLineChars="200"/>
        <w:rPr>
          <w:sz w:val="24"/>
        </w:rPr>
      </w:pPr>
      <w:r>
        <w:rPr>
          <w:sz w:val="24"/>
        </w:rPr>
        <w:t>医疗器械项目需求书应至少包括以下各点，请采购人按此标准填写，谢谢。</w:t>
      </w:r>
    </w:p>
    <w:p w14:paraId="4C1EA99B">
      <w:pPr>
        <w:spacing w:line="360" w:lineRule="auto"/>
        <w:ind w:firstLine="482" w:firstLineChars="200"/>
        <w:rPr>
          <w:b/>
          <w:sz w:val="24"/>
        </w:rPr>
      </w:pPr>
      <w:r>
        <w:rPr>
          <w:b/>
          <w:sz w:val="24"/>
        </w:rPr>
        <w:t>一、项目背景</w:t>
      </w:r>
    </w:p>
    <w:p w14:paraId="2DD5F84E">
      <w:pPr>
        <w:spacing w:line="360" w:lineRule="auto"/>
        <w:ind w:firstLine="480" w:firstLineChars="200"/>
        <w:outlineLvl w:val="0"/>
        <w:rPr>
          <w:sz w:val="24"/>
        </w:rPr>
      </w:pPr>
      <w:r>
        <w:rPr>
          <w:rFonts w:hint="eastAsia"/>
          <w:sz w:val="24"/>
        </w:rPr>
        <w:t>本项目为</w:t>
      </w:r>
      <w:r>
        <w:rPr>
          <w:rFonts w:hint="eastAsia"/>
          <w:sz w:val="24"/>
          <w:lang w:eastAsia="zh-CN"/>
        </w:rPr>
        <w:t>2026年天津市县域医共体医疗设备更新监护仪、麻醉机、呼吸机等设备采购项目</w:t>
      </w:r>
      <w:r>
        <w:rPr>
          <w:rFonts w:hint="eastAsia"/>
          <w:sz w:val="24"/>
        </w:rPr>
        <w:t>，共分为</w:t>
      </w:r>
      <w:r>
        <w:rPr>
          <w:rFonts w:hint="eastAsia"/>
          <w:sz w:val="24"/>
          <w:lang w:val="en-US" w:eastAsia="zh-CN"/>
        </w:rPr>
        <w:t>5</w:t>
      </w:r>
      <w:r>
        <w:rPr>
          <w:rFonts w:hint="eastAsia"/>
          <w:sz w:val="24"/>
        </w:rPr>
        <w:t>包。</w:t>
      </w:r>
    </w:p>
    <w:p w14:paraId="731E47FD">
      <w:pPr>
        <w:spacing w:line="360" w:lineRule="auto"/>
        <w:ind w:firstLine="480" w:firstLineChars="200"/>
        <w:outlineLvl w:val="0"/>
        <w:rPr>
          <w:sz w:val="24"/>
        </w:rPr>
      </w:pPr>
      <w:r>
        <w:rPr>
          <w:rFonts w:hint="eastAsia"/>
          <w:sz w:val="24"/>
        </w:rPr>
        <w:t>本项目属于工业</w:t>
      </w:r>
    </w:p>
    <w:p w14:paraId="17A4A3A1">
      <w:pPr>
        <w:spacing w:line="360" w:lineRule="auto"/>
        <w:ind w:firstLine="482" w:firstLineChars="200"/>
        <w:rPr>
          <w:b/>
          <w:sz w:val="24"/>
        </w:rPr>
      </w:pPr>
      <w:r>
        <w:rPr>
          <w:b/>
          <w:sz w:val="24"/>
        </w:rPr>
        <w:t>二、项目预算</w:t>
      </w:r>
    </w:p>
    <w:p w14:paraId="5583B965">
      <w:pPr>
        <w:spacing w:line="360" w:lineRule="auto"/>
        <w:ind w:firstLine="480" w:firstLineChars="200"/>
        <w:rPr>
          <w:sz w:val="24"/>
        </w:rPr>
      </w:pPr>
      <w:r>
        <w:rPr>
          <w:sz w:val="24"/>
        </w:rPr>
        <w:t>第一包：</w:t>
      </w:r>
      <w:r>
        <w:rPr>
          <w:rFonts w:hint="eastAsia"/>
          <w:sz w:val="24"/>
        </w:rPr>
        <w:t>231.5万元</w:t>
      </w:r>
      <w:r>
        <w:rPr>
          <w:sz w:val="24"/>
        </w:rPr>
        <w:t>；</w:t>
      </w:r>
    </w:p>
    <w:p w14:paraId="3A8D9881">
      <w:pPr>
        <w:spacing w:line="360" w:lineRule="auto"/>
        <w:ind w:firstLine="480" w:firstLineChars="200"/>
        <w:rPr>
          <w:sz w:val="24"/>
        </w:rPr>
      </w:pPr>
      <w:r>
        <w:rPr>
          <w:rFonts w:hint="eastAsia"/>
          <w:sz w:val="24"/>
        </w:rPr>
        <w:t>第二包：48万元；</w:t>
      </w:r>
    </w:p>
    <w:p w14:paraId="24A4E539">
      <w:pPr>
        <w:spacing w:line="360" w:lineRule="auto"/>
        <w:ind w:firstLine="480" w:firstLineChars="200"/>
        <w:rPr>
          <w:rFonts w:hint="eastAsia"/>
          <w:sz w:val="24"/>
        </w:rPr>
      </w:pPr>
      <w:r>
        <w:rPr>
          <w:rFonts w:hint="eastAsia"/>
          <w:sz w:val="24"/>
        </w:rPr>
        <w:t>第</w:t>
      </w:r>
      <w:r>
        <w:rPr>
          <w:rFonts w:hint="eastAsia"/>
          <w:sz w:val="24"/>
          <w:lang w:val="en-US" w:eastAsia="zh-CN"/>
        </w:rPr>
        <w:t>三</w:t>
      </w:r>
      <w:r>
        <w:rPr>
          <w:rFonts w:hint="eastAsia"/>
          <w:sz w:val="24"/>
        </w:rPr>
        <w:t xml:space="preserve">包：281万元；         </w:t>
      </w:r>
    </w:p>
    <w:p w14:paraId="2659AF24">
      <w:pPr>
        <w:spacing w:line="360" w:lineRule="auto"/>
        <w:ind w:firstLine="480" w:firstLineChars="200"/>
        <w:rPr>
          <w:rFonts w:hint="eastAsia"/>
          <w:sz w:val="24"/>
        </w:rPr>
      </w:pPr>
      <w:r>
        <w:rPr>
          <w:rFonts w:hint="eastAsia"/>
          <w:sz w:val="24"/>
        </w:rPr>
        <w:t>第</w:t>
      </w:r>
      <w:r>
        <w:rPr>
          <w:rFonts w:hint="eastAsia"/>
          <w:sz w:val="24"/>
          <w:lang w:val="en-US" w:eastAsia="zh-CN"/>
        </w:rPr>
        <w:t>四</w:t>
      </w:r>
      <w:r>
        <w:rPr>
          <w:rFonts w:hint="eastAsia"/>
          <w:sz w:val="24"/>
        </w:rPr>
        <w:t xml:space="preserve">包：14万元；        </w:t>
      </w:r>
    </w:p>
    <w:p w14:paraId="0618BE08">
      <w:pPr>
        <w:spacing w:line="360" w:lineRule="auto"/>
        <w:ind w:firstLine="480" w:firstLineChars="200"/>
        <w:rPr>
          <w:rFonts w:hint="eastAsia" w:eastAsia="宋体"/>
          <w:sz w:val="24"/>
          <w:lang w:eastAsia="zh-CN"/>
        </w:rPr>
      </w:pPr>
      <w:r>
        <w:rPr>
          <w:rFonts w:hint="eastAsia"/>
          <w:sz w:val="24"/>
        </w:rPr>
        <w:t>第</w:t>
      </w:r>
      <w:r>
        <w:rPr>
          <w:rFonts w:hint="eastAsia"/>
          <w:sz w:val="24"/>
          <w:lang w:val="en-US" w:eastAsia="zh-CN"/>
        </w:rPr>
        <w:t>五</w:t>
      </w:r>
      <w:r>
        <w:rPr>
          <w:rFonts w:hint="eastAsia"/>
          <w:sz w:val="24"/>
        </w:rPr>
        <w:t>包：490万元</w:t>
      </w:r>
      <w:r>
        <w:rPr>
          <w:rFonts w:hint="eastAsia"/>
          <w:sz w:val="24"/>
          <w:lang w:eastAsia="zh-CN"/>
        </w:rPr>
        <w:t>。</w:t>
      </w:r>
    </w:p>
    <w:p w14:paraId="13260359">
      <w:pPr>
        <w:spacing w:line="360" w:lineRule="auto"/>
        <w:ind w:firstLine="482" w:firstLineChars="200"/>
        <w:rPr>
          <w:b/>
          <w:sz w:val="24"/>
        </w:rPr>
      </w:pPr>
      <w:r>
        <w:rPr>
          <w:rFonts w:hint="eastAsia"/>
          <w:b/>
          <w:sz w:val="24"/>
        </w:rPr>
        <w:t>三</w:t>
      </w:r>
      <w:r>
        <w:rPr>
          <w:b/>
          <w:sz w:val="24"/>
        </w:rPr>
        <w:t>、资格要求</w:t>
      </w:r>
    </w:p>
    <w:p w14:paraId="50096AC7">
      <w:pPr>
        <w:spacing w:line="360" w:lineRule="auto"/>
        <w:ind w:firstLine="480" w:firstLineChars="200"/>
        <w:rPr>
          <w:sz w:val="24"/>
        </w:rPr>
      </w:pPr>
      <w:r>
        <w:rPr>
          <w:sz w:val="24"/>
        </w:rPr>
        <w:t>（一）产品：</w:t>
      </w:r>
    </w:p>
    <w:p w14:paraId="09455041">
      <w:pPr>
        <w:spacing w:line="360" w:lineRule="auto"/>
        <w:ind w:firstLine="480" w:firstLineChars="200"/>
        <w:rPr>
          <w:sz w:val="24"/>
        </w:rPr>
      </w:pPr>
      <w:r>
        <w:rPr>
          <w:sz w:val="24"/>
        </w:rPr>
        <w:t>医疗器械产品分为医疗器械备案证明和医疗器械注册证两种资质。</w:t>
      </w:r>
    </w:p>
    <w:p w14:paraId="2C216251">
      <w:pPr>
        <w:spacing w:line="360" w:lineRule="auto"/>
        <w:ind w:firstLine="480" w:firstLineChars="200"/>
        <w:rPr>
          <w:sz w:val="24"/>
        </w:rPr>
      </w:pPr>
      <w:r>
        <w:rPr>
          <w:sz w:val="24"/>
        </w:rPr>
        <w:t>（1）属于医疗器械第一类中的产品应提供医疗器械备案证明。</w:t>
      </w:r>
    </w:p>
    <w:p w14:paraId="2DC13110">
      <w:pPr>
        <w:spacing w:line="360" w:lineRule="auto"/>
        <w:ind w:firstLine="480" w:firstLineChars="200"/>
        <w:rPr>
          <w:sz w:val="24"/>
        </w:rPr>
      </w:pPr>
      <w:r>
        <w:rPr>
          <w:sz w:val="24"/>
        </w:rPr>
        <w:t>（2）属于医疗器械第二类和第三类中的产品应提供医疗器械注册证。</w:t>
      </w:r>
    </w:p>
    <w:p w14:paraId="6EA46913">
      <w:pPr>
        <w:spacing w:line="360" w:lineRule="auto"/>
        <w:ind w:firstLine="480" w:firstLineChars="200"/>
        <w:rPr>
          <w:sz w:val="24"/>
        </w:rPr>
      </w:pPr>
      <w:r>
        <w:rPr>
          <w:sz w:val="24"/>
        </w:rPr>
        <w:t>（二）供应商：</w:t>
      </w:r>
    </w:p>
    <w:p w14:paraId="6CC012D4">
      <w:pPr>
        <w:spacing w:line="360" w:lineRule="auto"/>
        <w:ind w:firstLine="480" w:firstLineChars="200"/>
        <w:rPr>
          <w:sz w:val="24"/>
        </w:rPr>
      </w:pPr>
      <w:r>
        <w:rPr>
          <w:sz w:val="24"/>
        </w:rPr>
        <w:t>1.制造商：</w:t>
      </w:r>
    </w:p>
    <w:p w14:paraId="1804514E">
      <w:pPr>
        <w:spacing w:line="360" w:lineRule="auto"/>
        <w:ind w:firstLine="480" w:firstLineChars="200"/>
        <w:rPr>
          <w:sz w:val="24"/>
        </w:rPr>
      </w:pPr>
      <w:r>
        <w:rPr>
          <w:sz w:val="24"/>
        </w:rPr>
        <w:t>（1）所投产品属于医疗器械分类管理中第一类的产品，应提供医疗器械生产企业备案证明文件。</w:t>
      </w:r>
    </w:p>
    <w:p w14:paraId="5AF36E0D">
      <w:pPr>
        <w:spacing w:line="360" w:lineRule="auto"/>
        <w:ind w:firstLine="480" w:firstLineChars="200"/>
        <w:rPr>
          <w:sz w:val="24"/>
        </w:rPr>
      </w:pPr>
      <w:r>
        <w:rPr>
          <w:sz w:val="24"/>
        </w:rPr>
        <w:t>（2）所投产品属于医疗器械分类管理中第二类和第三类的产品，应提供医疗器械生产企业许可证。</w:t>
      </w:r>
    </w:p>
    <w:p w14:paraId="15D393EE">
      <w:pPr>
        <w:spacing w:line="360" w:lineRule="auto"/>
        <w:ind w:firstLine="480" w:firstLineChars="200"/>
        <w:rPr>
          <w:sz w:val="24"/>
        </w:rPr>
      </w:pPr>
      <w:r>
        <w:rPr>
          <w:sz w:val="24"/>
        </w:rPr>
        <w:t>2.销售商：</w:t>
      </w:r>
    </w:p>
    <w:p w14:paraId="67537BC1">
      <w:pPr>
        <w:spacing w:line="360" w:lineRule="auto"/>
        <w:ind w:firstLine="480" w:firstLineChars="200"/>
        <w:rPr>
          <w:sz w:val="24"/>
        </w:rPr>
      </w:pPr>
      <w:r>
        <w:rPr>
          <w:sz w:val="24"/>
        </w:rPr>
        <w:t>（1）所投产品属于医疗器械分类管理中第一类，无须提供任何资质</w:t>
      </w:r>
    </w:p>
    <w:p w14:paraId="659410F0">
      <w:pPr>
        <w:spacing w:line="360" w:lineRule="auto"/>
        <w:ind w:firstLine="480" w:firstLineChars="200"/>
        <w:rPr>
          <w:sz w:val="24"/>
        </w:rPr>
      </w:pPr>
      <w:r>
        <w:rPr>
          <w:sz w:val="24"/>
        </w:rPr>
        <w:t>（2）所投产品属于医疗器械分类管理中第二类的产品，应提供医疗器械经营企业备案证明文件</w:t>
      </w:r>
    </w:p>
    <w:p w14:paraId="4E4DD10C">
      <w:pPr>
        <w:spacing w:line="360" w:lineRule="auto"/>
        <w:ind w:firstLine="480" w:firstLineChars="200"/>
        <w:rPr>
          <w:rFonts w:hint="eastAsia"/>
          <w:sz w:val="24"/>
        </w:rPr>
      </w:pPr>
      <w:r>
        <w:rPr>
          <w:sz w:val="24"/>
        </w:rPr>
        <w:t>（3）所投产品属于医疗器械分类管理中第三类的产品，应提供医疗器械经营企业许可证。</w:t>
      </w:r>
    </w:p>
    <w:p w14:paraId="6B59E637">
      <w:pPr>
        <w:spacing w:line="360" w:lineRule="auto"/>
        <w:ind w:firstLine="480" w:firstLineChars="200"/>
        <w:rPr>
          <w:sz w:val="24"/>
        </w:rPr>
      </w:pPr>
      <w:r>
        <w:rPr>
          <w:rFonts w:hint="eastAsia"/>
          <w:sz w:val="24"/>
        </w:rPr>
        <w:t>（三）投标人须具备《中华人民共和国政府采购法》第二十二条第一款规定的条件。</w:t>
      </w:r>
    </w:p>
    <w:p w14:paraId="4843D2F8">
      <w:pPr>
        <w:spacing w:line="360" w:lineRule="auto"/>
        <w:ind w:firstLine="480" w:firstLineChars="200"/>
        <w:rPr>
          <w:sz w:val="24"/>
        </w:rPr>
      </w:pPr>
      <w:r>
        <w:rPr>
          <w:rFonts w:hint="eastAsia"/>
          <w:sz w:val="24"/>
        </w:rPr>
        <w:t>（四）本项目</w:t>
      </w:r>
      <w:r>
        <w:rPr>
          <w:rFonts w:hint="eastAsia"/>
          <w:color w:val="FF0000"/>
          <w:sz w:val="24"/>
        </w:rPr>
        <w:t>不接受</w:t>
      </w:r>
      <w:r>
        <w:rPr>
          <w:rFonts w:hint="eastAsia"/>
          <w:sz w:val="24"/>
        </w:rPr>
        <w:t>联合体。</w:t>
      </w:r>
    </w:p>
    <w:p w14:paraId="48ABFE7E">
      <w:pPr>
        <w:spacing w:line="360" w:lineRule="auto"/>
        <w:ind w:firstLine="482" w:firstLineChars="200"/>
        <w:rPr>
          <w:b/>
          <w:sz w:val="24"/>
        </w:rPr>
      </w:pPr>
      <w:r>
        <w:rPr>
          <w:rFonts w:hint="eastAsia"/>
          <w:b/>
          <w:sz w:val="24"/>
        </w:rPr>
        <w:t>四</w:t>
      </w:r>
      <w:r>
        <w:rPr>
          <w:b/>
          <w:sz w:val="24"/>
        </w:rPr>
        <w:t>、技术要求</w:t>
      </w:r>
      <w:bookmarkStart w:id="8" w:name="_GoBack"/>
      <w:bookmarkEnd w:id="8"/>
    </w:p>
    <w:p w14:paraId="5AFC80B3">
      <w:pPr>
        <w:spacing w:line="360" w:lineRule="auto"/>
        <w:ind w:firstLine="720" w:firstLineChars="300"/>
        <w:rPr>
          <w:sz w:val="24"/>
        </w:rPr>
      </w:pPr>
      <w:r>
        <w:rPr>
          <w:sz w:val="24"/>
        </w:rPr>
        <w:t>本项目共</w:t>
      </w:r>
      <w:r>
        <w:rPr>
          <w:rFonts w:hint="eastAsia"/>
          <w:color w:val="FF0000"/>
          <w:sz w:val="24"/>
          <w:lang w:val="en-US" w:eastAsia="zh-CN"/>
        </w:rPr>
        <w:t>五</w:t>
      </w:r>
      <w:r>
        <w:rPr>
          <w:sz w:val="24"/>
        </w:rPr>
        <w:t>包。</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5"/>
        <w:gridCol w:w="2395"/>
        <w:gridCol w:w="2300"/>
        <w:gridCol w:w="1188"/>
        <w:gridCol w:w="847"/>
        <w:gridCol w:w="1194"/>
      </w:tblGrid>
      <w:tr w14:paraId="5829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8A1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包号</w:t>
            </w: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92B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医院名称</w:t>
            </w:r>
          </w:p>
        </w:tc>
        <w:tc>
          <w:tcPr>
            <w:tcW w:w="1349" w:type="pct"/>
            <w:tcBorders>
              <w:top w:val="single" w:color="000000" w:sz="4" w:space="0"/>
              <w:left w:val="single" w:color="000000" w:sz="4" w:space="0"/>
              <w:bottom w:val="nil"/>
              <w:right w:val="single" w:color="000000" w:sz="4" w:space="0"/>
            </w:tcBorders>
            <w:shd w:val="clear" w:color="auto" w:fill="auto"/>
            <w:vAlign w:val="center"/>
          </w:tcPr>
          <w:p w14:paraId="767C89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CA2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（台/套）</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C44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F86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总预算   （万元）</w:t>
            </w:r>
          </w:p>
        </w:tc>
      </w:tr>
      <w:tr w14:paraId="09756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948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4E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天津市静海区医院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C7B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cs="宋体"/>
                <w:kern w:val="0"/>
                <w:szCs w:val="21"/>
                <w:lang w:bidi="ar"/>
              </w:rPr>
              <w:t>▲</w:t>
            </w:r>
            <w:r>
              <w:rPr>
                <w:rFonts w:hint="eastAsia" w:ascii="宋体" w:hAnsi="宋体" w:eastAsia="宋体" w:cs="宋体"/>
                <w:i w:val="0"/>
                <w:iCs w:val="0"/>
                <w:color w:val="000000"/>
                <w:kern w:val="0"/>
                <w:sz w:val="24"/>
                <w:szCs w:val="24"/>
                <w:u w:val="none"/>
                <w:lang w:val="en-US" w:eastAsia="zh-CN" w:bidi="ar"/>
              </w:rPr>
              <w:t>心电监护中央站（1）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5B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E04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9C5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r>
      <w:tr w14:paraId="1A364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62AE7">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1D9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天津市静海区医院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1D7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心电监护中央站（2）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87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299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A51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r>
      <w:tr w14:paraId="60DD7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FDC2F">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4D2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天津市宝坻区中医医院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168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监护仪（3）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A71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83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8D8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r>
      <w:tr w14:paraId="006F6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308DB">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C8F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天津市宝坻区中医医院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E8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监护仪（3）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C44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B0D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6A3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14:paraId="4AC2B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E5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698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天津市宁河区中医医院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00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监护仪</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0AE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430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490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r>
      <w:tr w14:paraId="22E5B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698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4C1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天津市宝坻区中医医院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61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呼吸机（1）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8EB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316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E7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14:paraId="3CACA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F8FFC">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1AC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天津市静海区医院</w:t>
            </w:r>
          </w:p>
        </w:tc>
        <w:tc>
          <w:tcPr>
            <w:tcW w:w="1349" w:type="pct"/>
            <w:vMerge w:val="restart"/>
            <w:tcBorders>
              <w:top w:val="single" w:color="000000" w:sz="4" w:space="0"/>
              <w:left w:val="single" w:color="000000" w:sz="4" w:space="0"/>
              <w:right w:val="single" w:color="000000" w:sz="4" w:space="0"/>
            </w:tcBorders>
            <w:shd w:val="clear" w:color="auto" w:fill="auto"/>
            <w:vAlign w:val="center"/>
          </w:tcPr>
          <w:p w14:paraId="1DAAF5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cs="宋体"/>
                <w:kern w:val="0"/>
                <w:szCs w:val="21"/>
                <w:lang w:bidi="ar"/>
              </w:rPr>
              <w:t>▲</w:t>
            </w:r>
            <w:r>
              <w:rPr>
                <w:rFonts w:hint="eastAsia" w:ascii="宋体" w:hAnsi="宋体" w:eastAsia="宋体" w:cs="宋体"/>
                <w:i w:val="0"/>
                <w:iCs w:val="0"/>
                <w:color w:val="000000"/>
                <w:kern w:val="0"/>
                <w:sz w:val="24"/>
                <w:szCs w:val="24"/>
                <w:u w:val="none"/>
                <w:lang w:val="en-US" w:eastAsia="zh-CN" w:bidi="ar"/>
              </w:rPr>
              <w:t>呼吸机（2）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397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C7E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295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r>
      <w:tr w14:paraId="6B927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B2338">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49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天津市静海区医院</w:t>
            </w:r>
          </w:p>
        </w:tc>
        <w:tc>
          <w:tcPr>
            <w:tcW w:w="1349" w:type="pct"/>
            <w:vMerge w:val="continue"/>
            <w:tcBorders>
              <w:left w:val="single" w:color="000000" w:sz="4" w:space="0"/>
              <w:bottom w:val="single" w:color="000000" w:sz="4" w:space="0"/>
              <w:right w:val="single" w:color="000000" w:sz="4" w:space="0"/>
            </w:tcBorders>
            <w:shd w:val="clear" w:color="auto" w:fill="auto"/>
            <w:vAlign w:val="center"/>
          </w:tcPr>
          <w:p w14:paraId="770D44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021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AF0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648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w:t>
            </w:r>
          </w:p>
        </w:tc>
      </w:tr>
      <w:tr w14:paraId="3C4B9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16F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C40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天津市北辰区妇幼保健计划生育服务中心</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8AC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cs="宋体"/>
                <w:kern w:val="0"/>
                <w:szCs w:val="21"/>
                <w:lang w:bidi="ar"/>
              </w:rPr>
              <w:t>▲</w:t>
            </w:r>
            <w:r>
              <w:rPr>
                <w:rFonts w:hint="eastAsia" w:ascii="宋体" w:hAnsi="宋体" w:eastAsia="宋体" w:cs="宋体"/>
                <w:i w:val="0"/>
                <w:iCs w:val="0"/>
                <w:color w:val="000000"/>
                <w:kern w:val="0"/>
                <w:sz w:val="24"/>
                <w:szCs w:val="24"/>
                <w:u w:val="none"/>
                <w:lang w:val="en-US" w:eastAsia="zh-CN" w:bidi="ar"/>
              </w:rPr>
              <w:t>无创呼吸机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4FA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50A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773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r>
      <w:tr w14:paraId="2481B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B74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1C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天津市宝坻区中医医院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455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cs="宋体"/>
                <w:kern w:val="0"/>
                <w:szCs w:val="21"/>
                <w:lang w:bidi="ar"/>
              </w:rPr>
              <w:t>▲</w:t>
            </w:r>
            <w:r>
              <w:rPr>
                <w:rFonts w:hint="eastAsia" w:ascii="宋体" w:hAnsi="宋体" w:eastAsia="宋体" w:cs="宋体"/>
                <w:i w:val="0"/>
                <w:iCs w:val="0"/>
                <w:color w:val="000000"/>
                <w:kern w:val="0"/>
                <w:sz w:val="24"/>
                <w:szCs w:val="24"/>
                <w:u w:val="none"/>
                <w:lang w:val="en-US" w:eastAsia="zh-CN" w:bidi="ar"/>
              </w:rPr>
              <w:t>麻醉机（1）</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96A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04E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F74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330</w:t>
            </w:r>
          </w:p>
        </w:tc>
      </w:tr>
      <w:tr w14:paraId="75F38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630F4">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732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天津市静海区医院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D10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麻醉机（2）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141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6F4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DA8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5267F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DAFC2">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4"/>
                <w:szCs w:val="24"/>
                <w:u w:val="none"/>
              </w:rPr>
            </w:pPr>
          </w:p>
        </w:tc>
        <w:tc>
          <w:tcPr>
            <w:tcW w:w="1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EE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天津市静海区医院</w:t>
            </w:r>
          </w:p>
        </w:tc>
        <w:tc>
          <w:tcPr>
            <w:tcW w:w="1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730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麻醉机（3）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F95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D14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4CC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bl>
    <w:p w14:paraId="63EA7CE1">
      <w:pPr>
        <w:spacing w:line="360" w:lineRule="auto"/>
        <w:rPr>
          <w:rFonts w:hint="eastAsia"/>
          <w:sz w:val="24"/>
        </w:rPr>
      </w:pPr>
    </w:p>
    <w:p w14:paraId="7C669EF9">
      <w:pPr>
        <w:pStyle w:val="16"/>
        <w:spacing w:line="360" w:lineRule="auto"/>
        <w:ind w:firstLine="480" w:firstLineChars="200"/>
        <w:jc w:val="both"/>
        <w:rPr>
          <w:rFonts w:hint="eastAsia"/>
          <w:sz w:val="24"/>
        </w:rPr>
      </w:pPr>
      <w:r>
        <w:rPr>
          <w:rFonts w:hint="eastAsia" w:ascii="Times New Roman" w:hAnsi="Times New Roman" w:eastAsia="宋体" w:cs="Times New Roman"/>
          <w:color w:val="auto"/>
        </w:rPr>
        <w:t>第一包：</w:t>
      </w:r>
      <w:r>
        <w:rPr>
          <w:rFonts w:hint="eastAsia"/>
          <w:sz w:val="24"/>
        </w:rPr>
        <w:t>心电监护中央站（1）1套、心电监护中央站（2）1套、监护仪（3）6台</w:t>
      </w:r>
    </w:p>
    <w:p w14:paraId="4F097C83">
      <w:pPr>
        <w:pStyle w:val="16"/>
        <w:spacing w:line="360" w:lineRule="auto"/>
        <w:ind w:firstLine="480"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14:paraId="1646BC99">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所投全部产品须按照《医疗器械注册与备案管理办法》（国家市场监督管理总局令第47号）的规定，提供医疗器械备案证明材料或医疗器械注册证扫描件。</w:t>
      </w:r>
    </w:p>
    <w:p w14:paraId="0A83E222">
      <w:pPr>
        <w:spacing w:line="360" w:lineRule="auto"/>
        <w:ind w:firstLine="480" w:firstLineChars="200"/>
        <w:outlineLvl w:val="0"/>
        <w:rPr>
          <w:sz w:val="24"/>
        </w:rPr>
      </w:pPr>
      <w:r>
        <w:rPr>
          <w:rFonts w:hint="eastAsia"/>
          <w:sz w:val="24"/>
        </w:rPr>
        <w:t>2. 技术参数</w:t>
      </w:r>
    </w:p>
    <w:tbl>
      <w:tblPr>
        <w:tblStyle w:val="7"/>
        <w:tblW w:w="56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364"/>
        <w:gridCol w:w="755"/>
        <w:gridCol w:w="850"/>
        <w:gridCol w:w="5887"/>
      </w:tblGrid>
      <w:tr w14:paraId="47A8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433" w:type="pct"/>
            <w:tcBorders>
              <w:top w:val="single" w:color="auto" w:sz="4" w:space="0"/>
              <w:left w:val="single" w:color="auto" w:sz="4" w:space="0"/>
              <w:bottom w:val="single" w:color="auto" w:sz="4" w:space="0"/>
              <w:right w:val="single" w:color="auto" w:sz="4" w:space="0"/>
            </w:tcBorders>
            <w:vAlign w:val="center"/>
          </w:tcPr>
          <w:p w14:paraId="51AE72E8">
            <w:pPr>
              <w:widowControl/>
              <w:jc w:val="center"/>
              <w:rPr>
                <w:rFonts w:cs="宋体"/>
                <w:kern w:val="0"/>
                <w:sz w:val="24"/>
                <w:szCs w:val="24"/>
              </w:rPr>
            </w:pPr>
            <w:r>
              <w:rPr>
                <w:rFonts w:hint="eastAsia" w:cs="宋体"/>
                <w:kern w:val="0"/>
                <w:sz w:val="24"/>
              </w:rPr>
              <w:t>序号</w:t>
            </w:r>
          </w:p>
        </w:tc>
        <w:tc>
          <w:tcPr>
            <w:tcW w:w="703" w:type="pct"/>
            <w:tcBorders>
              <w:top w:val="single" w:color="auto" w:sz="4" w:space="0"/>
              <w:left w:val="single" w:color="auto" w:sz="4" w:space="0"/>
              <w:bottom w:val="single" w:color="auto" w:sz="4" w:space="0"/>
              <w:right w:val="single" w:color="auto" w:sz="4" w:space="0"/>
            </w:tcBorders>
            <w:vAlign w:val="center"/>
          </w:tcPr>
          <w:p w14:paraId="34D10332">
            <w:pPr>
              <w:widowControl/>
              <w:jc w:val="center"/>
              <w:rPr>
                <w:rFonts w:cs="宋体"/>
                <w:kern w:val="0"/>
                <w:sz w:val="24"/>
                <w:szCs w:val="24"/>
              </w:rPr>
            </w:pPr>
            <w:r>
              <w:rPr>
                <w:rFonts w:hint="eastAsia" w:cs="宋体"/>
                <w:kern w:val="0"/>
                <w:sz w:val="24"/>
              </w:rPr>
              <w:t>标的名称</w:t>
            </w:r>
          </w:p>
        </w:tc>
        <w:tc>
          <w:tcPr>
            <w:tcW w:w="389" w:type="pct"/>
            <w:tcBorders>
              <w:top w:val="single" w:color="auto" w:sz="4" w:space="0"/>
              <w:left w:val="single" w:color="auto" w:sz="4" w:space="0"/>
              <w:bottom w:val="single" w:color="auto" w:sz="4" w:space="0"/>
              <w:right w:val="single" w:color="auto" w:sz="4" w:space="0"/>
            </w:tcBorders>
            <w:vAlign w:val="center"/>
          </w:tcPr>
          <w:p w14:paraId="024932B9">
            <w:pPr>
              <w:widowControl/>
              <w:jc w:val="center"/>
              <w:rPr>
                <w:rFonts w:cs="宋体"/>
                <w:kern w:val="0"/>
                <w:sz w:val="24"/>
                <w:szCs w:val="24"/>
              </w:rPr>
            </w:pPr>
            <w:r>
              <w:rPr>
                <w:rFonts w:cs="宋体"/>
                <w:kern w:val="0"/>
                <w:sz w:val="24"/>
                <w:szCs w:val="24"/>
              </w:rPr>
              <w:t>单位</w:t>
            </w:r>
            <w:r>
              <w:rPr>
                <w:rFonts w:hint="eastAsia" w:cs="宋体"/>
                <w:kern w:val="0"/>
                <w:sz w:val="24"/>
                <w:szCs w:val="24"/>
              </w:rPr>
              <w:t xml:space="preserve"> </w:t>
            </w:r>
          </w:p>
        </w:tc>
        <w:tc>
          <w:tcPr>
            <w:tcW w:w="438" w:type="pct"/>
            <w:tcBorders>
              <w:top w:val="single" w:color="auto" w:sz="4" w:space="0"/>
              <w:left w:val="single" w:color="auto" w:sz="4" w:space="0"/>
              <w:bottom w:val="single" w:color="auto" w:sz="4" w:space="0"/>
              <w:right w:val="single" w:color="auto" w:sz="4" w:space="0"/>
            </w:tcBorders>
            <w:vAlign w:val="center"/>
          </w:tcPr>
          <w:p w14:paraId="6FA23C52">
            <w:pPr>
              <w:widowControl/>
              <w:jc w:val="center"/>
              <w:rPr>
                <w:rFonts w:cs="宋体"/>
                <w:kern w:val="0"/>
                <w:sz w:val="24"/>
              </w:rPr>
            </w:pPr>
            <w:r>
              <w:rPr>
                <w:rFonts w:hint="eastAsia" w:cs="宋体"/>
                <w:kern w:val="0"/>
                <w:sz w:val="24"/>
              </w:rPr>
              <w:t>数量</w:t>
            </w:r>
          </w:p>
        </w:tc>
        <w:tc>
          <w:tcPr>
            <w:tcW w:w="3035" w:type="pct"/>
            <w:tcBorders>
              <w:top w:val="single" w:color="auto" w:sz="4" w:space="0"/>
              <w:left w:val="single" w:color="auto" w:sz="4" w:space="0"/>
              <w:bottom w:val="single" w:color="auto" w:sz="4" w:space="0"/>
              <w:right w:val="single" w:color="auto" w:sz="4" w:space="0"/>
            </w:tcBorders>
            <w:vAlign w:val="center"/>
          </w:tcPr>
          <w:p w14:paraId="2E276F40">
            <w:pPr>
              <w:widowControl/>
              <w:spacing w:line="300" w:lineRule="exact"/>
              <w:jc w:val="center"/>
              <w:rPr>
                <w:rFonts w:cs="宋体"/>
                <w:kern w:val="0"/>
                <w:sz w:val="24"/>
                <w:szCs w:val="24"/>
              </w:rPr>
            </w:pPr>
            <w:r>
              <w:rPr>
                <w:rFonts w:hint="eastAsia" w:cs="宋体"/>
                <w:kern w:val="0"/>
                <w:sz w:val="24"/>
              </w:rPr>
              <w:t>需求条款</w:t>
            </w:r>
          </w:p>
        </w:tc>
      </w:tr>
      <w:tr w14:paraId="58A7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14:paraId="25E76174">
            <w:pPr>
              <w:snapToGrid w:val="0"/>
              <w:spacing w:line="360" w:lineRule="auto"/>
              <w:jc w:val="center"/>
              <w:rPr>
                <w:rFonts w:ascii="宋体" w:hAnsi="宋体" w:cs="宋体"/>
                <w:sz w:val="24"/>
                <w:szCs w:val="24"/>
              </w:rPr>
            </w:pPr>
            <w:r>
              <w:rPr>
                <w:rFonts w:hint="eastAsia" w:ascii="宋体" w:hAnsi="宋体" w:cs="宋体"/>
                <w:sz w:val="24"/>
                <w:szCs w:val="24"/>
              </w:rPr>
              <w:t>1</w:t>
            </w:r>
          </w:p>
        </w:tc>
        <w:tc>
          <w:tcPr>
            <w:tcW w:w="703" w:type="pct"/>
            <w:tcBorders>
              <w:top w:val="single" w:color="auto" w:sz="4" w:space="0"/>
              <w:left w:val="single" w:color="auto" w:sz="4" w:space="0"/>
              <w:bottom w:val="single" w:color="auto" w:sz="4" w:space="0"/>
              <w:right w:val="single" w:color="auto" w:sz="4" w:space="0"/>
            </w:tcBorders>
            <w:vAlign w:val="center"/>
          </w:tcPr>
          <w:p w14:paraId="1D1886B9">
            <w:pPr>
              <w:snapToGrid w:val="0"/>
              <w:spacing w:line="360" w:lineRule="auto"/>
              <w:jc w:val="center"/>
              <w:rPr>
                <w:rFonts w:ascii="宋体" w:hAnsi="宋体" w:cs="宋体"/>
                <w:sz w:val="24"/>
                <w:szCs w:val="24"/>
              </w:rPr>
            </w:pPr>
            <w:r>
              <w:rPr>
                <w:rFonts w:hint="eastAsia" w:ascii="宋体" w:hAnsi="宋体" w:eastAsia="宋体" w:cs="宋体"/>
                <w:sz w:val="24"/>
                <w:szCs w:val="24"/>
                <w:lang w:eastAsia="zh-CN"/>
              </w:rPr>
              <w:t>▲心电监护中央站（1）</w:t>
            </w:r>
          </w:p>
        </w:tc>
        <w:tc>
          <w:tcPr>
            <w:tcW w:w="389" w:type="pct"/>
            <w:tcBorders>
              <w:top w:val="single" w:color="auto" w:sz="4" w:space="0"/>
              <w:left w:val="single" w:color="auto" w:sz="4" w:space="0"/>
              <w:bottom w:val="single" w:color="auto" w:sz="4" w:space="0"/>
              <w:right w:val="single" w:color="auto" w:sz="4" w:space="0"/>
            </w:tcBorders>
            <w:vAlign w:val="center"/>
          </w:tcPr>
          <w:p w14:paraId="5A780BED">
            <w:pPr>
              <w:snapToGrid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套</w:t>
            </w:r>
          </w:p>
        </w:tc>
        <w:tc>
          <w:tcPr>
            <w:tcW w:w="438" w:type="pct"/>
            <w:tcBorders>
              <w:top w:val="single" w:color="auto" w:sz="4" w:space="0"/>
              <w:left w:val="single" w:color="auto" w:sz="4" w:space="0"/>
              <w:bottom w:val="single" w:color="auto" w:sz="4" w:space="0"/>
              <w:right w:val="single" w:color="auto" w:sz="4" w:space="0"/>
            </w:tcBorders>
            <w:vAlign w:val="center"/>
          </w:tcPr>
          <w:p w14:paraId="623C6BA8">
            <w:pPr>
              <w:jc w:val="center"/>
              <w:rPr>
                <w:rFonts w:hint="eastAsia" w:eastAsia="宋体"/>
                <w:sz w:val="24"/>
                <w:szCs w:val="21"/>
                <w:lang w:eastAsia="zh-CN"/>
              </w:rPr>
            </w:pPr>
            <w:r>
              <w:rPr>
                <w:rFonts w:hint="eastAsia"/>
                <w:sz w:val="24"/>
                <w:szCs w:val="21"/>
                <w:lang w:val="en-US" w:eastAsia="zh-CN"/>
              </w:rPr>
              <w:t>1</w:t>
            </w:r>
          </w:p>
        </w:tc>
        <w:tc>
          <w:tcPr>
            <w:tcW w:w="3035" w:type="pct"/>
            <w:tcBorders>
              <w:top w:val="single" w:color="auto" w:sz="4" w:space="0"/>
              <w:left w:val="single" w:color="auto" w:sz="4" w:space="0"/>
              <w:bottom w:val="single" w:color="auto" w:sz="4" w:space="0"/>
              <w:right w:val="single" w:color="auto" w:sz="4" w:space="0"/>
            </w:tcBorders>
          </w:tcPr>
          <w:p w14:paraId="120ED120">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天津市静海区医院</w:t>
            </w:r>
          </w:p>
          <w:p w14:paraId="734B2DE3">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★一、产品用途：由1台中央监护工作站和22台插件式监护仪组成，实现集中监测及查看。可在同一回顾页面同时显示全息波形，报警，图形趋势，表格趋势。</w:t>
            </w:r>
          </w:p>
          <w:p w14:paraId="6B8FF39A">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二、技术参数</w:t>
            </w:r>
          </w:p>
          <w:p w14:paraId="034ED150">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1.模块化插件式监护仪:</w:t>
            </w:r>
          </w:p>
          <w:p w14:paraId="72EDB730">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1.1主机、显示屏和插件槽一体化设计，主机模块插槽数≥6个（非电池插槽），且模块支持插入主机任意插槽；</w:t>
            </w:r>
          </w:p>
          <w:p w14:paraId="1069F1EB">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★1.2≥15英寸彩色触摸显示屏，分辨率≥1920×1080，≥10通道显示，显示屏亮度自动调节；</w:t>
            </w:r>
          </w:p>
          <w:p w14:paraId="790A087A">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★1.3配置≥4个USB接口，支持连接鼠标、条码扫描枪和遥控器等USB设备；</w:t>
            </w:r>
          </w:p>
          <w:p w14:paraId="316AFDE6">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1.4内置锂电池供电≥2小时；</w:t>
            </w:r>
          </w:p>
          <w:p w14:paraId="0094611A">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1.5基本功能模块：支持（3/5导）心电、呼吸、心率、脉搏、血氧饱和度、无创血压、双通道体温、双通道有创血压监测，并提供全部相关附件；</w:t>
            </w:r>
          </w:p>
          <w:p w14:paraId="6F9D424B">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★1.6基本功能模块支持升级为具备转运功能的模块，具有独立操作显示屏，屏幕尺寸≥5.5英寸，内置锂电池供电≥4小时，无风扇设计；</w:t>
            </w:r>
          </w:p>
          <w:p w14:paraId="4EFFA431">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★1.7转运模块可插入监护仪主机的任意插槽；</w:t>
            </w:r>
          </w:p>
          <w:p w14:paraId="09B1E010">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1.8心电分析支持包括但不限于HR、ST、QT/QTc 及ΔQTc数，及≥25种心律失常分析，含房颤分析；</w:t>
            </w:r>
          </w:p>
          <w:p w14:paraId="5D4FCE84">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★1.9支持室上性心动过速和SVCs/min等室上性心律失常分析；</w:t>
            </w:r>
          </w:p>
          <w:p w14:paraId="033361E9">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1.10心电支持≥4个分析导联实时动态同步分析，并非多个导联波形同屏显示及12导联静息分析；</w:t>
            </w:r>
          </w:p>
          <w:p w14:paraId="65937795">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1.11配指套式血氧探头，支持浸泡消毒，防水等级≥IPX7；</w:t>
            </w:r>
          </w:p>
          <w:p w14:paraId="50FB24C4">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1.12具有抗运动和弱灌注血氧技术，可显示若灌注指数（PI）；</w:t>
            </w:r>
          </w:p>
          <w:p w14:paraId="121BCAE6">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1.13标配双通道有创血压，支持实时PPV测量和PAWP手动和自动测量；</w:t>
            </w:r>
          </w:p>
          <w:p w14:paraId="0989DA00">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1.14可支持升级心肺复苏质量指数监测功能；</w:t>
            </w:r>
          </w:p>
          <w:p w14:paraId="5CAA4F34">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★1.15支持RR呼吸率测量，测量范围：0～200rpm</w:t>
            </w:r>
          </w:p>
          <w:p w14:paraId="1826BA45">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1.16可通过模块升级：二氧化碳、氧气、脑电（EEG）、双频指数BIS、麻醉气体AG、电阻抗心动描记（ICG）、脑电麻醉深度指数、呼吸力学（RM）、有创心排量（C.O.）、有创连续心排量（CCO： PiCCO）、神经肌肉传导（NMT）；</w:t>
            </w:r>
          </w:p>
          <w:p w14:paraId="231BD544">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1.17支持升级模块，进行RM呼吸力学监测，提供≥18项呼吸力学参数指标，可监测包括，PIF峰值吸气流量，PEF峰值呼气流量、NIF负吸入压力等；</w:t>
            </w:r>
          </w:p>
          <w:p w14:paraId="3CD3918F">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1.18可升级脑部与区域血氧饱和度（</w:t>
            </w:r>
            <w:r>
              <w:rPr>
                <w:rFonts w:hint="eastAsia" w:ascii="宋体" w:hAnsi="宋体" w:eastAsia="宋体" w:cs="宋体"/>
                <w:kern w:val="0"/>
                <w:sz w:val="24"/>
                <w:szCs w:val="20"/>
                <w:lang w:val="en-US" w:eastAsia="zh-CN"/>
              </w:rPr>
              <w:t>rSO2</w:t>
            </w:r>
            <w:r>
              <w:rPr>
                <w:rFonts w:hint="eastAsia" w:ascii="宋体" w:hAnsi="宋体" w:eastAsia="宋体" w:cs="宋体"/>
                <w:kern w:val="0"/>
                <w:sz w:val="24"/>
                <w:szCs w:val="20"/>
              </w:rPr>
              <w:t>）监护，最多支持4通道的r</w:t>
            </w:r>
            <w:r>
              <w:rPr>
                <w:rFonts w:hint="eastAsia" w:ascii="宋体" w:hAnsi="宋体" w:eastAsia="宋体" w:cs="宋体"/>
                <w:kern w:val="0"/>
                <w:sz w:val="24"/>
                <w:szCs w:val="20"/>
                <w:lang w:val="en-US" w:eastAsia="zh-CN"/>
              </w:rPr>
              <w:t>SO2</w:t>
            </w:r>
            <w:r>
              <w:rPr>
                <w:rFonts w:hint="eastAsia" w:ascii="宋体" w:hAnsi="宋体" w:eastAsia="宋体" w:cs="宋体"/>
                <w:kern w:val="0"/>
                <w:sz w:val="24"/>
                <w:szCs w:val="20"/>
              </w:rPr>
              <w:t>测量，</w:t>
            </w:r>
            <w:r>
              <w:rPr>
                <w:rFonts w:hint="eastAsia" w:ascii="宋体" w:hAnsi="宋体" w:eastAsia="宋体" w:cs="宋体"/>
                <w:kern w:val="0"/>
                <w:sz w:val="24"/>
                <w:szCs w:val="20"/>
                <w:lang w:val="en-US" w:eastAsia="zh-CN"/>
              </w:rPr>
              <w:t>rSO2</w:t>
            </w:r>
            <w:r>
              <w:rPr>
                <w:rFonts w:hint="eastAsia" w:ascii="宋体" w:hAnsi="宋体" w:eastAsia="宋体" w:cs="宋体"/>
                <w:kern w:val="0"/>
                <w:sz w:val="24"/>
                <w:szCs w:val="20"/>
              </w:rPr>
              <w:t>的传感器（非主线缆）可配置重复用耗材；</w:t>
            </w:r>
          </w:p>
          <w:p w14:paraId="4BD84822">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1.19可具备FloTrac监测功能模块或可实现FloTrac技术单机产品，非漂浮导管热稀释法或无创阻抗法，可通过监测桡动脉压力提供连续心排量（CCO），每搏量变异（SVV），实时外周血管阻力（SVR）等监测参数，满足连续血流动力学监测需求</w:t>
            </w:r>
          </w:p>
          <w:p w14:paraId="72AE66EA">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1.20具备≥40小时全息波形的存储与回顾功能，支持≥120小时（分辨率1分钟）ST模板存储与回顾；</w:t>
            </w:r>
          </w:p>
          <w:p w14:paraId="5B2B811E">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1.21具有报警升级功能：当参数报警经过一定的时间未被处理或伴发了其他报警，自动升级到高级别报警；</w:t>
            </w:r>
          </w:p>
          <w:p w14:paraId="2412D6D2">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1.22具有特殊报警音：在病人发生致命性参数报警时，支持根据病人的参数趋势变化，自动推送推荐报警限；</w:t>
            </w:r>
          </w:p>
          <w:p w14:paraId="41FF1A21">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★1.23具备参数组合报警功能（并非早期预警评分EWS），可对患者同时多个参数变化给出统一报警提示，提供≥10个预设组合报警，并允许自定义≥6个组合报警；</w:t>
            </w:r>
          </w:p>
          <w:p w14:paraId="3EE472FA">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1.24支持≥800条事件回顾，每条报警事件能够存储≥32秒三道相关波形，以及报警触发时所有测量参数值；</w:t>
            </w:r>
          </w:p>
          <w:p w14:paraId="273423F3">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1.25支持升级模块，可与主流品牌的呼吸机、输注泵产品相连，实现呼吸机、输注泵设备的信息在监护仪上显示、存储、记录、打印或者用于参与计算。</w:t>
            </w:r>
          </w:p>
          <w:p w14:paraId="6B019236">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1.26可与呼吸机以及输注泵通过无线或有线的方式融合显示在中央站界面</w:t>
            </w:r>
          </w:p>
          <w:p w14:paraId="5D4C596C">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1.27支持与除颤监护仪，遥测混合联通至中心监护系统，实现护士站的集中管理</w:t>
            </w:r>
          </w:p>
          <w:p w14:paraId="417D489A">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1.28可升级输注泵用药信息回顾工具，可同时间轴显示病人生命体征参数及用药信息回顾，呈现病人生命体征变化趋势与药物输注流速变化之间的关系</w:t>
            </w:r>
          </w:p>
          <w:p w14:paraId="3ADB5A69">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2.中央监护工作站</w:t>
            </w:r>
          </w:p>
          <w:p w14:paraId="35ED6A07">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2.1中央站支持≥24寸液晶屏幕，≥1280×1024高分辨率彩色液晶显示，内存≥16GB，硬盘≥2个，单个硬盘内存≥1T；</w:t>
            </w:r>
          </w:p>
          <w:p w14:paraId="16FE181F">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2.2可同屏显示≥32张床位信息，≥20余种窗口布置任意选择</w:t>
            </w:r>
          </w:p>
          <w:p w14:paraId="592E9FB9">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2.3数据处理能力：≥240小时趋势回顾、≥720条无创血压测量回顾、≥720条CO测量结果回顾、≥720条12导分析结果回顾、≥720条报警事件回顾、≥72小时全息波形回顾；</w:t>
            </w:r>
          </w:p>
          <w:p w14:paraId="376123BB">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2.4中央站可支持其所管辖的所有床位一键进入夜间模式和隐私模式</w:t>
            </w:r>
          </w:p>
          <w:p w14:paraId="4E9630FF">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2.5中央站支持PDF电子报告功能，可自动将报告输出至网络中的报告服务器上，并同时向EMR发送通知消息</w:t>
            </w:r>
          </w:p>
          <w:p w14:paraId="7AF6485E">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3.同时支持有线、无线、遥测组网方式；</w:t>
            </w:r>
          </w:p>
          <w:p w14:paraId="35A2B0E0">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★4.负责有线连接方式的布线；</w:t>
            </w:r>
          </w:p>
          <w:p w14:paraId="25CC3638">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★5.支持与HIS、智能护理等信息系统连接，负责相关软硬件费用；</w:t>
            </w:r>
          </w:p>
          <w:p w14:paraId="6096901E">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6.设备使用年限≥10年（提供出厂铭牌或说明书）；</w:t>
            </w:r>
          </w:p>
          <w:p w14:paraId="6D7510AD">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三、配置要求</w:t>
            </w:r>
            <w:r>
              <w:rPr>
                <w:rFonts w:hint="eastAsia" w:ascii="宋体" w:hAnsi="宋体" w:eastAsia="宋体" w:cs="宋体"/>
                <w:kern w:val="0"/>
                <w:sz w:val="24"/>
                <w:szCs w:val="20"/>
              </w:rPr>
              <w:tab/>
            </w:r>
          </w:p>
          <w:p w14:paraId="3E31D5AD">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1.中央监护工作站，1套；</w:t>
            </w:r>
          </w:p>
          <w:p w14:paraId="01671812">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2.插件式监护仪，22台（基础模块*20个，转运模块*2个，锂电池*22组）；</w:t>
            </w:r>
          </w:p>
          <w:p w14:paraId="5DF73A0E">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3.升级模块：二氧化碳*2个，二氧化碳（带氧监测）*1个、呼吸力学（RM）*1个、脑电（EEG）*1个、脑电麻醉深度指数*1个、神经肌肉传导（NMT）*1个；</w:t>
            </w:r>
          </w:p>
          <w:p w14:paraId="07B74F2D">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4.≥32口以太网交换机，1台；</w:t>
            </w:r>
          </w:p>
          <w:p w14:paraId="04F080B0">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5.终端处理系统1套（内存≥16G，支持21：9显示，报告输出模块，音频外放模块）；</w:t>
            </w:r>
          </w:p>
          <w:p w14:paraId="37E9058D">
            <w:pPr>
              <w:widowControl/>
              <w:spacing w:line="240" w:lineRule="atLeast"/>
              <w:rPr>
                <w:rFonts w:hint="eastAsia" w:ascii="宋体" w:hAnsi="宋体" w:eastAsia="宋体" w:cs="宋体"/>
                <w:kern w:val="0"/>
                <w:sz w:val="24"/>
                <w:szCs w:val="20"/>
              </w:rPr>
            </w:pPr>
            <w:r>
              <w:rPr>
                <w:rFonts w:hint="eastAsia" w:ascii="宋体" w:hAnsi="宋体" w:eastAsia="宋体" w:cs="宋体"/>
                <w:kern w:val="0"/>
                <w:sz w:val="24"/>
                <w:szCs w:val="20"/>
              </w:rPr>
              <w:t>6.≥55寸显示大屏，2台；</w:t>
            </w:r>
          </w:p>
        </w:tc>
      </w:tr>
      <w:tr w14:paraId="551C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14:paraId="18842D46">
            <w:pPr>
              <w:snapToGrid w:val="0"/>
              <w:spacing w:line="360" w:lineRule="auto"/>
              <w:jc w:val="center"/>
              <w:rPr>
                <w:rFonts w:ascii="宋体" w:hAnsi="宋体" w:cs="宋体"/>
                <w:sz w:val="24"/>
                <w:szCs w:val="24"/>
              </w:rPr>
            </w:pPr>
            <w:r>
              <w:rPr>
                <w:rFonts w:hint="eastAsia" w:ascii="宋体" w:hAnsi="宋体" w:cs="宋体"/>
                <w:sz w:val="24"/>
                <w:szCs w:val="24"/>
              </w:rPr>
              <w:t>2</w:t>
            </w:r>
          </w:p>
        </w:tc>
        <w:tc>
          <w:tcPr>
            <w:tcW w:w="703" w:type="pct"/>
            <w:tcBorders>
              <w:top w:val="single" w:color="auto" w:sz="4" w:space="0"/>
              <w:left w:val="single" w:color="auto" w:sz="4" w:space="0"/>
              <w:bottom w:val="single" w:color="auto" w:sz="4" w:space="0"/>
              <w:right w:val="single" w:color="auto" w:sz="4" w:space="0"/>
            </w:tcBorders>
            <w:vAlign w:val="center"/>
          </w:tcPr>
          <w:p w14:paraId="4B4DDC21">
            <w:pPr>
              <w:snapToGrid w:val="0"/>
              <w:spacing w:line="360" w:lineRule="auto"/>
              <w:jc w:val="center"/>
              <w:rPr>
                <w:rFonts w:ascii="宋体" w:hAnsi="宋体" w:cs="宋体"/>
                <w:sz w:val="24"/>
                <w:szCs w:val="24"/>
              </w:rPr>
            </w:pPr>
            <w:r>
              <w:rPr>
                <w:rFonts w:hint="eastAsia" w:ascii="宋体" w:hAnsi="宋体" w:cs="宋体"/>
                <w:sz w:val="24"/>
                <w:szCs w:val="24"/>
              </w:rPr>
              <w:t>心电监护中央站（</w:t>
            </w:r>
            <w:r>
              <w:rPr>
                <w:rFonts w:hint="eastAsia" w:ascii="宋体" w:hAnsi="宋体" w:cs="宋体"/>
                <w:sz w:val="24"/>
                <w:szCs w:val="24"/>
                <w:lang w:val="en-US" w:eastAsia="zh-CN"/>
              </w:rPr>
              <w:t>2</w:t>
            </w:r>
            <w:r>
              <w:rPr>
                <w:rFonts w:hint="eastAsia" w:ascii="宋体" w:hAnsi="宋体" w:cs="宋体"/>
                <w:sz w:val="24"/>
                <w:szCs w:val="24"/>
              </w:rPr>
              <w:t>）</w:t>
            </w:r>
          </w:p>
        </w:tc>
        <w:tc>
          <w:tcPr>
            <w:tcW w:w="389" w:type="pct"/>
            <w:tcBorders>
              <w:top w:val="single" w:color="auto" w:sz="4" w:space="0"/>
              <w:left w:val="single" w:color="auto" w:sz="4" w:space="0"/>
              <w:bottom w:val="single" w:color="auto" w:sz="4" w:space="0"/>
              <w:right w:val="single" w:color="auto" w:sz="4" w:space="0"/>
            </w:tcBorders>
            <w:vAlign w:val="center"/>
          </w:tcPr>
          <w:p w14:paraId="19B87D50">
            <w:pPr>
              <w:snapToGrid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套</w:t>
            </w:r>
          </w:p>
        </w:tc>
        <w:tc>
          <w:tcPr>
            <w:tcW w:w="438" w:type="pct"/>
            <w:tcBorders>
              <w:top w:val="single" w:color="auto" w:sz="4" w:space="0"/>
              <w:left w:val="single" w:color="auto" w:sz="4" w:space="0"/>
              <w:bottom w:val="single" w:color="auto" w:sz="4" w:space="0"/>
              <w:right w:val="single" w:color="auto" w:sz="4" w:space="0"/>
            </w:tcBorders>
            <w:vAlign w:val="center"/>
          </w:tcPr>
          <w:p w14:paraId="6BA18525">
            <w:pPr>
              <w:jc w:val="center"/>
              <w:rPr>
                <w:rFonts w:hint="eastAsia" w:eastAsia="宋体"/>
                <w:sz w:val="24"/>
                <w:szCs w:val="21"/>
                <w:lang w:eastAsia="zh-CN"/>
              </w:rPr>
            </w:pPr>
            <w:r>
              <w:rPr>
                <w:rFonts w:hint="eastAsia"/>
                <w:sz w:val="24"/>
                <w:szCs w:val="21"/>
                <w:lang w:val="en-US" w:eastAsia="zh-CN"/>
              </w:rPr>
              <w:t>1</w:t>
            </w:r>
          </w:p>
        </w:tc>
        <w:tc>
          <w:tcPr>
            <w:tcW w:w="3035" w:type="pct"/>
            <w:tcBorders>
              <w:top w:val="single" w:color="auto" w:sz="4" w:space="0"/>
              <w:left w:val="single" w:color="auto" w:sz="4" w:space="0"/>
              <w:bottom w:val="single" w:color="auto" w:sz="4" w:space="0"/>
              <w:right w:val="single" w:color="auto" w:sz="4" w:space="0"/>
            </w:tcBorders>
          </w:tcPr>
          <w:p w14:paraId="69FFD773">
            <w:pPr>
              <w:snapToGrid w:val="0"/>
              <w:spacing w:line="300" w:lineRule="exact"/>
              <w:jc w:val="left"/>
              <w:rPr>
                <w:rFonts w:hint="eastAsia" w:ascii="宋体" w:hAnsi="宋体" w:cs="宋体"/>
                <w:color w:val="000000"/>
                <w:sz w:val="24"/>
                <w:szCs w:val="24"/>
              </w:rPr>
            </w:pPr>
            <w:r>
              <w:rPr>
                <w:rFonts w:hint="eastAsia" w:ascii="宋体" w:hAnsi="宋体" w:cs="宋体"/>
                <w:color w:val="000000"/>
                <w:sz w:val="24"/>
                <w:szCs w:val="24"/>
              </w:rPr>
              <w:t>天津市静海区医院</w:t>
            </w:r>
          </w:p>
          <w:p w14:paraId="7044AB67">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★一、产品用途：由1台中央监护工作站和10台监护仪组成，实现集中监测及查看。可在同一回顾页面同时显示全息波形，报警，图形趋势，表格趋势。</w:t>
            </w:r>
          </w:p>
          <w:p w14:paraId="483A048B">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二、技术参数</w:t>
            </w:r>
          </w:p>
          <w:p w14:paraId="55F4347E">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模块化插件式监护仪：</w:t>
            </w:r>
          </w:p>
          <w:p w14:paraId="3468D95F">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1.1产品注册证上的适用范围必须含有新生儿护理。</w:t>
            </w:r>
          </w:p>
          <w:p w14:paraId="713D0AB0">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★1.2主机、显示屏和插件槽一体化设计，主机模块插槽数≥4个，主机屏幕≥12英寸彩色电容触摸屏，高分辨率≥1280×800像素，≥10通道显示，显示屏亮度自动调节；</w:t>
            </w:r>
          </w:p>
          <w:p w14:paraId="54B5C438">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★1.3配置≥4个USB接口，支持连接鼠标、条码扫描枪和遥控器等USB设备；</w:t>
            </w:r>
          </w:p>
          <w:p w14:paraId="5757D8BE">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1.4内置高能锂电池，供电时间≥2小时;</w:t>
            </w:r>
          </w:p>
          <w:p w14:paraId="28E4E9F3">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1.5基本功能模块支持（3/5导）心电，呼吸，心率，无创血压，血氧饱和度，脉搏，双通道体温和双通道有创血压的同时监测;</w:t>
            </w:r>
          </w:p>
          <w:p w14:paraId="69A7721C">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1.6基本功能模块支持升级为具备转运功能的模块，具有独立操作显示屏，屏幕尺寸≥5.5英寸，内置锂电池供电≥4小时，无风扇设计；</w:t>
            </w:r>
          </w:p>
          <w:p w14:paraId="728139AE">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1.7转运模块支持插入监护仪主机的任意插槽；</w:t>
            </w:r>
          </w:p>
          <w:p w14:paraId="6CFD9B7D">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1.8心电分析支持包括但不限于HR、ST、QT/QTc 及ΔQTc数，及≥25种心律失常分析，含房颤分析；</w:t>
            </w:r>
          </w:p>
          <w:p w14:paraId="3302B41A">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★1.9支持室上性心动过速和SVCs/min等室上性心律失常分析；</w:t>
            </w:r>
          </w:p>
          <w:p w14:paraId="09A3F6EE">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1.10心电支持≥3个分析导联实时动态同步分析，并非多个导联波形同屏显示及12导联静息分析；</w:t>
            </w:r>
          </w:p>
          <w:p w14:paraId="64229533">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★1.11支持RR呼吸率测量，测量范围：0～200rpm</w:t>
            </w:r>
          </w:p>
          <w:p w14:paraId="23CB0B96">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1.12 QT和QTc实时监测参数测量范围：200～800 ms</w:t>
            </w:r>
          </w:p>
          <w:p w14:paraId="593465A4">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1.13 NIBP 成人收缩压测量：25～290mmHg；新生儿收缩压测量：30～140mmHg；</w:t>
            </w:r>
          </w:p>
          <w:p w14:paraId="20578326">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1.14 NIBP支持快速测量，典型测量时间≤15秒</w:t>
            </w:r>
          </w:p>
          <w:p w14:paraId="10C02E55">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1.15提供新生儿专用血压测量袖带一套，包括≥4个尺寸不同的袖带；</w:t>
            </w:r>
          </w:p>
          <w:p w14:paraId="506D98BB">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1.16提供新生儿专用心电导联线和专用电极片；</w:t>
            </w:r>
          </w:p>
          <w:p w14:paraId="2F69CBE4">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1.17配置新生儿包裹式血氧探头，支持浸泡消毒，防水等级≥IPX7；</w:t>
            </w:r>
          </w:p>
          <w:p w14:paraId="1B206D7D">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1.18配置双通道血氧监测及配套附件，可同时监测两个部位的血氧；</w:t>
            </w:r>
          </w:p>
          <w:p w14:paraId="0409ACEB">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1.19有创压适用于成人，小儿和新生儿，有创压测量范围：-50～360mmHg</w:t>
            </w:r>
          </w:p>
          <w:p w14:paraId="2A4FD70C">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1.20支持升级模块，可与主流品牌的呼吸机、输注泵产品相连，实现呼吸机、输注泵设备的信息在监护仪上显示、存储、记录、打印或者用于参与计算。</w:t>
            </w:r>
          </w:p>
          <w:p w14:paraId="053EC2CA">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1.21具有特殊报警音：在病人发生致命性参数报警时，支持根据病人的参数趋势变化，自动推送推荐报警限；</w:t>
            </w:r>
          </w:p>
          <w:p w14:paraId="580B8C41">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1.22具备参数组合报警功能（并非早期预警评分EWS），可对患者同时多个参数变化给出统一报警提示，提供≥10个预设组合报警，并允许自定义≥6个组合报警；</w:t>
            </w:r>
          </w:p>
          <w:p w14:paraId="40E7D2E0">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1.23提供CCHD新生儿先心病筛查工具，并可以支持美标法及双标法筛查流程，双标法筛查流程复合《全国新生儿先天性心脏病筛查手册》</w:t>
            </w:r>
          </w:p>
          <w:p w14:paraId="3894A415">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1.24提供新生儿呼吸氧合专用界面，实时识别和标记ABD事件，协助临床对于新生儿的呼吸暂停的监测和管理</w:t>
            </w:r>
          </w:p>
          <w:p w14:paraId="51A9AFBE">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1.25提供目标监测界面，能够显示ECG,</w:t>
            </w:r>
            <w:r>
              <w:rPr>
                <w:rFonts w:hint="eastAsia" w:ascii="宋体" w:hAnsi="宋体" w:cs="宋体"/>
                <w:color w:val="auto"/>
                <w:sz w:val="24"/>
                <w:szCs w:val="24"/>
              </w:rPr>
              <w:t>SpO</w:t>
            </w:r>
            <w:r>
              <w:rPr>
                <w:rFonts w:hint="eastAsia" w:ascii="宋体" w:hAnsi="宋体" w:cs="宋体"/>
                <w:color w:val="auto"/>
                <w:sz w:val="24"/>
                <w:szCs w:val="24"/>
                <w:vertAlign w:val="subscript"/>
              </w:rPr>
              <w:t>2</w:t>
            </w:r>
            <w:r>
              <w:rPr>
                <w:rFonts w:hint="eastAsia" w:ascii="宋体" w:hAnsi="宋体" w:cs="宋体"/>
                <w:color w:val="auto"/>
                <w:sz w:val="24"/>
                <w:szCs w:val="24"/>
              </w:rPr>
              <w:t>,IBP,CO</w:t>
            </w:r>
            <w:r>
              <w:rPr>
                <w:rFonts w:hint="eastAsia" w:ascii="宋体" w:hAnsi="宋体" w:cs="宋体"/>
                <w:color w:val="auto"/>
                <w:sz w:val="24"/>
                <w:szCs w:val="24"/>
                <w:vertAlign w:val="subscript"/>
              </w:rPr>
              <w:t>2</w:t>
            </w:r>
            <w:r>
              <w:rPr>
                <w:rFonts w:hint="eastAsia" w:ascii="宋体" w:hAnsi="宋体" w:eastAsia="宋体" w:cs="宋体"/>
                <w:b w:val="0"/>
                <w:bCs w:val="0"/>
                <w:color w:val="auto"/>
                <w:sz w:val="24"/>
                <w:szCs w:val="24"/>
              </w:rPr>
              <w:t>等多种参数测量值和波形；目标监测界面至少包括目标参数区、参数列表区、目标参数统计区、目标参数趋势区等，目标参数统计区与目标参数趋势区相互联动</w:t>
            </w:r>
          </w:p>
          <w:p w14:paraId="61381528">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1.26支持≥800条事件回顾。每条报警事件至少能够存储32秒三道相关波形，以及报警触发时所有测量参数值</w:t>
            </w:r>
          </w:p>
          <w:p w14:paraId="5792010E">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1.27具备≥40小时全息波形的存储与回顾功能，支持≥120小时（分辨率1分钟）ST模板存储与回顾</w:t>
            </w:r>
          </w:p>
          <w:p w14:paraId="66CAF562">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1.28支持与除颤监护仪或遥测混合联通至中心监护系统，实现护士站的集中管理</w:t>
            </w:r>
          </w:p>
          <w:p w14:paraId="5B9460D5">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1.29可与呼吸机以及输注泵通过无线或有线的方式融合显示在中央站界面</w:t>
            </w:r>
          </w:p>
          <w:p w14:paraId="720F8BDA">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2.一体化便携监护仪</w:t>
            </w:r>
          </w:p>
          <w:p w14:paraId="7B3CB20D">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★2.1≥12英寸彩色液晶触摸屏，分辨率≥1280×800，≥8通道波形显示，屏幕标配最新电容屏非电阻屏；</w:t>
            </w:r>
          </w:p>
          <w:p w14:paraId="2FF1637B">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2.2支持≥170度可视范围；</w:t>
            </w:r>
          </w:p>
          <w:p w14:paraId="0DDB9D31">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2.3内置锂电池，插槽式设计，支持快速拆卸和安装，工作时间≥4小时；</w:t>
            </w:r>
          </w:p>
          <w:p w14:paraId="29C060E6">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2.4安全规格：ECG, TEMP, Sp</w:t>
            </w:r>
            <w:r>
              <w:rPr>
                <w:rFonts w:hint="eastAsia" w:ascii="宋体" w:hAnsi="宋体" w:cs="宋体"/>
                <w:color w:val="auto"/>
                <w:sz w:val="24"/>
                <w:szCs w:val="24"/>
              </w:rPr>
              <w:t>O</w:t>
            </w:r>
            <w:r>
              <w:rPr>
                <w:rFonts w:hint="eastAsia" w:ascii="宋体" w:hAnsi="宋体" w:cs="宋体"/>
                <w:color w:val="auto"/>
                <w:sz w:val="24"/>
                <w:szCs w:val="24"/>
                <w:vertAlign w:val="subscript"/>
              </w:rPr>
              <w:t>2</w:t>
            </w:r>
            <w:r>
              <w:rPr>
                <w:rFonts w:hint="eastAsia" w:ascii="宋体" w:hAnsi="宋体" w:eastAsia="宋体" w:cs="宋体"/>
                <w:b w:val="0"/>
                <w:bCs w:val="0"/>
                <w:color w:val="auto"/>
                <w:sz w:val="24"/>
                <w:szCs w:val="24"/>
              </w:rPr>
              <w:t xml:space="preserve"> , NIBP监测参数抗电击程度为防除颤CF型。</w:t>
            </w:r>
          </w:p>
          <w:p w14:paraId="4A020672">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2.5主机防水等级≥IPX1，整机抗跌落设计通过0.75米6面跌落测试。</w:t>
            </w:r>
          </w:p>
          <w:p w14:paraId="62338C48">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★2.6 USB接口支持连接包括但不限于鼠标、条码扫描枪和遥控器设备。</w:t>
            </w:r>
          </w:p>
          <w:p w14:paraId="712E439B">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2.7配置3/5导心电，呼吸，无创血压，血氧饱和度，脉搏和双通道体温参数监测，以上参数适用于成人、小儿、新生儿患者；</w:t>
            </w:r>
          </w:p>
          <w:p w14:paraId="105C1125">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2.8心电监护支持心率，ST段测量，心律失常分析，QT/QTc连续实时测量和对应报警功能，支持成人、小儿、新生儿患者；</w:t>
            </w:r>
          </w:p>
          <w:p w14:paraId="55A80648">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2.9具备心率失常分析功能，包括室上性心动过速，可提供每分钟室上性收缩次数；</w:t>
            </w:r>
          </w:p>
          <w:p w14:paraId="0C8107C3">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★2.10心电支持≥3个分析导联实时动态同步分析，并非多个导联波形同屏显示及12导联静息分析；</w:t>
            </w:r>
          </w:p>
          <w:p w14:paraId="640D339C">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2.11提供Sp</w:t>
            </w:r>
            <w:r>
              <w:rPr>
                <w:rFonts w:hint="eastAsia" w:ascii="宋体" w:hAnsi="宋体" w:cs="宋体"/>
                <w:color w:val="auto"/>
                <w:sz w:val="24"/>
                <w:szCs w:val="24"/>
              </w:rPr>
              <w:t>O</w:t>
            </w:r>
            <w:r>
              <w:rPr>
                <w:rFonts w:hint="eastAsia" w:ascii="宋体" w:hAnsi="宋体" w:cs="宋体"/>
                <w:color w:val="auto"/>
                <w:sz w:val="24"/>
                <w:szCs w:val="24"/>
                <w:vertAlign w:val="subscript"/>
              </w:rPr>
              <w:t>2</w:t>
            </w:r>
            <w:r>
              <w:rPr>
                <w:rFonts w:hint="eastAsia" w:ascii="宋体" w:hAnsi="宋体" w:eastAsia="宋体" w:cs="宋体"/>
                <w:b w:val="0"/>
                <w:bCs w:val="0"/>
                <w:color w:val="auto"/>
                <w:sz w:val="24"/>
                <w:szCs w:val="24"/>
              </w:rPr>
              <w:t>,PR和PI参数的实时监测，适用于成人，小儿和新生儿。来自Sp</w:t>
            </w:r>
            <w:r>
              <w:rPr>
                <w:rFonts w:hint="eastAsia" w:ascii="宋体" w:hAnsi="宋体" w:cs="宋体"/>
                <w:color w:val="auto"/>
                <w:sz w:val="24"/>
                <w:szCs w:val="24"/>
              </w:rPr>
              <w:t>O</w:t>
            </w:r>
            <w:r>
              <w:rPr>
                <w:rFonts w:hint="eastAsia" w:ascii="宋体" w:hAnsi="宋体" w:cs="宋体"/>
                <w:color w:val="auto"/>
                <w:sz w:val="24"/>
                <w:szCs w:val="24"/>
                <w:vertAlign w:val="subscript"/>
              </w:rPr>
              <w:t>2</w:t>
            </w:r>
            <w:r>
              <w:rPr>
                <w:rFonts w:hint="eastAsia" w:ascii="宋体" w:hAnsi="宋体" w:eastAsia="宋体" w:cs="宋体"/>
                <w:b w:val="0"/>
                <w:bCs w:val="0"/>
                <w:color w:val="auto"/>
                <w:sz w:val="24"/>
                <w:szCs w:val="24"/>
              </w:rPr>
              <w:t>的PR测量范围：20-300。</w:t>
            </w:r>
          </w:p>
          <w:p w14:paraId="43ED3921">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2.12提供新生儿专用血压测量袖带一套，包括≥4个尺寸不同的袖带；成人袖带一个；</w:t>
            </w:r>
          </w:p>
          <w:p w14:paraId="18B77358">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2.13提供新生儿专用心电导联线和专用电极片一套；成人导联线一套；</w:t>
            </w:r>
          </w:p>
          <w:p w14:paraId="2D193073">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2.14配置新生儿包裹式血氧探头和成人血氧探头（支持指套式），支持浸泡消毒，防水等级≥IPX7；</w:t>
            </w:r>
          </w:p>
          <w:p w14:paraId="7C71CCAA">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2.15提供手动，自动，连续、序列和整点5种测量模式，提供24小时血压统计结果。</w:t>
            </w:r>
          </w:p>
          <w:p w14:paraId="6B883ACF">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2.16配置无创血压测量，适用于成人，小儿和新生儿。无创血压成人测量范围：收缩压25-290mmH。</w:t>
            </w:r>
          </w:p>
          <w:p w14:paraId="2E8603C5">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2.17提供包括但不限于双通道体温和温差参数的监测,并可根据需要更改体温通道标名。</w:t>
            </w:r>
          </w:p>
          <w:p w14:paraId="5B9B61D5">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2.18支持≥1000条事件回顾。每条报警事件至少能够存储32秒相关波形，以及报警触发时所有测量参数值。</w:t>
            </w:r>
          </w:p>
          <w:p w14:paraId="033E93A9">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2.19具备参数组合报警功能（并非早期预警评分EWS），可对患者同时多个参数变化给出统一报警提示，更好地反映病人状态，提供≥10个预设组合报警，并允许自定义≥6个组合报警。</w:t>
            </w:r>
          </w:p>
          <w:p w14:paraId="4BFBC627">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2.20动态趋势界面可支持统计1-24小时心律失常报警、参数超限报警信息，并对超限报警区间的波形进行高亮显示，帮助医护人员快速识别异常趋势信息。</w:t>
            </w:r>
          </w:p>
          <w:p w14:paraId="71315B18">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3.中央监护工作站</w:t>
            </w:r>
          </w:p>
          <w:p w14:paraId="5B9D6141">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3.1中央站支持≥24寸液晶屏幕，≥1280×1024高分辨率彩色液晶显示，内存≥16GB，硬盘≥2个，单个硬盘内存≥1T；</w:t>
            </w:r>
          </w:p>
          <w:p w14:paraId="4A178EDC">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3.2可同屏显示≥32张床位信息，≥20余种窗口布置任意选择</w:t>
            </w:r>
          </w:p>
          <w:p w14:paraId="4AB86D51">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3.3数据处理能力：≥240小时趋势回顾、≥720条无创血压测量回顾、≥720条CO测量结果回顾、≥720条12导分析结果回顾、≥720条报警事件回顾、≥72小时全息波形回顾；</w:t>
            </w:r>
          </w:p>
          <w:p w14:paraId="423D4ACB">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3.4中央站可支持其所管辖的所有床位一键进入夜间模式和隐私模式</w:t>
            </w:r>
          </w:p>
          <w:p w14:paraId="0D4E5B69">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3.5中央站支持PDF电子报告功能，可自动将报告输出至网络中的报告服务器上，并同时向EMR发送通知消息</w:t>
            </w:r>
          </w:p>
          <w:p w14:paraId="741FF9C0">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4.同时支持有线、无线、遥测组网方式；</w:t>
            </w:r>
          </w:p>
          <w:p w14:paraId="21A8D19B">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★5.负责有线连接方式的布线；</w:t>
            </w:r>
          </w:p>
          <w:p w14:paraId="4D6E75AF">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★6.支持与HIS、智能护理等信息系统连接，负责相关软硬件费用；</w:t>
            </w:r>
          </w:p>
          <w:p w14:paraId="7FE548F0">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7.设备使用年限≥10年（提供出厂铭牌或说明书）；</w:t>
            </w:r>
          </w:p>
          <w:p w14:paraId="5625518F">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三、配置要求</w:t>
            </w:r>
            <w:r>
              <w:rPr>
                <w:rFonts w:hint="eastAsia" w:ascii="宋体" w:hAnsi="宋体" w:eastAsia="宋体" w:cs="宋体"/>
                <w:b w:val="0"/>
                <w:bCs w:val="0"/>
                <w:color w:val="auto"/>
                <w:sz w:val="24"/>
                <w:szCs w:val="24"/>
              </w:rPr>
              <w:tab/>
            </w:r>
          </w:p>
          <w:p w14:paraId="7AECEA12">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1.中央监护工作站，1套；</w:t>
            </w:r>
          </w:p>
          <w:p w14:paraId="3FC08676">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2.插件式监护仪（具备新生儿双血氧监测功能），2台；</w:t>
            </w:r>
          </w:p>
          <w:p w14:paraId="2F812365">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3.一体化便携监护仪，8台；</w:t>
            </w:r>
          </w:p>
          <w:p w14:paraId="71309B85">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4.二氧化碳，2个；</w:t>
            </w:r>
          </w:p>
          <w:p w14:paraId="1A015649">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5.24口以太网交换机，1台；</w:t>
            </w:r>
          </w:p>
          <w:p w14:paraId="666BFBAA">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6.终端处理系统1套（内存≥16G，支持21：9显示，报告输出模块，音频外放模块）；</w:t>
            </w:r>
          </w:p>
          <w:p w14:paraId="52DCBB84">
            <w:pPr>
              <w:snapToGrid w:val="0"/>
              <w:spacing w:line="300" w:lineRule="exact"/>
              <w:jc w:val="left"/>
              <w:rPr>
                <w:rFonts w:hint="eastAsia" w:ascii="宋体" w:hAnsi="宋体" w:cs="宋体"/>
                <w:color w:val="000000"/>
                <w:sz w:val="24"/>
                <w:szCs w:val="24"/>
              </w:rPr>
            </w:pPr>
            <w:r>
              <w:rPr>
                <w:rFonts w:hint="eastAsia" w:ascii="宋体" w:hAnsi="宋体" w:eastAsia="宋体" w:cs="宋体"/>
                <w:b w:val="0"/>
                <w:bCs w:val="0"/>
                <w:color w:val="auto"/>
                <w:sz w:val="24"/>
                <w:szCs w:val="24"/>
              </w:rPr>
              <w:t>7.≥55寸显示大屏，1台；</w:t>
            </w:r>
          </w:p>
        </w:tc>
      </w:tr>
      <w:tr w14:paraId="5C5F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14:paraId="2397B9D6">
            <w:pPr>
              <w:snapToGrid w:val="0"/>
              <w:spacing w:line="360" w:lineRule="auto"/>
              <w:jc w:val="center"/>
              <w:rPr>
                <w:rFonts w:ascii="宋体" w:hAnsi="宋体" w:cs="宋体"/>
                <w:sz w:val="24"/>
                <w:szCs w:val="24"/>
              </w:rPr>
            </w:pPr>
            <w:r>
              <w:rPr>
                <w:rFonts w:hint="eastAsia" w:ascii="宋体" w:hAnsi="宋体" w:cs="宋体"/>
                <w:sz w:val="24"/>
                <w:szCs w:val="24"/>
              </w:rPr>
              <w:t>3</w:t>
            </w:r>
          </w:p>
        </w:tc>
        <w:tc>
          <w:tcPr>
            <w:tcW w:w="703" w:type="pct"/>
            <w:tcBorders>
              <w:top w:val="single" w:color="auto" w:sz="4" w:space="0"/>
              <w:left w:val="single" w:color="auto" w:sz="4" w:space="0"/>
              <w:bottom w:val="single" w:color="auto" w:sz="4" w:space="0"/>
              <w:right w:val="single" w:color="auto" w:sz="4" w:space="0"/>
            </w:tcBorders>
            <w:vAlign w:val="center"/>
          </w:tcPr>
          <w:p w14:paraId="36A07BAC">
            <w:pPr>
              <w:snapToGrid w:val="0"/>
              <w:spacing w:line="360" w:lineRule="auto"/>
              <w:jc w:val="center"/>
              <w:rPr>
                <w:rFonts w:ascii="宋体" w:hAnsi="宋体" w:cs="宋体"/>
                <w:sz w:val="24"/>
                <w:szCs w:val="24"/>
              </w:rPr>
            </w:pPr>
            <w:r>
              <w:rPr>
                <w:rFonts w:hint="eastAsia" w:ascii="宋体" w:hAnsi="宋体" w:cs="宋体"/>
                <w:sz w:val="24"/>
                <w:szCs w:val="24"/>
              </w:rPr>
              <w:t>监护仪（3）</w:t>
            </w:r>
          </w:p>
        </w:tc>
        <w:tc>
          <w:tcPr>
            <w:tcW w:w="389" w:type="pct"/>
            <w:tcBorders>
              <w:top w:val="single" w:color="auto" w:sz="4" w:space="0"/>
              <w:left w:val="single" w:color="auto" w:sz="4" w:space="0"/>
              <w:bottom w:val="single" w:color="auto" w:sz="4" w:space="0"/>
              <w:right w:val="single" w:color="auto" w:sz="4" w:space="0"/>
            </w:tcBorders>
            <w:vAlign w:val="center"/>
          </w:tcPr>
          <w:p w14:paraId="0C662FD8">
            <w:pPr>
              <w:snapToGrid w:val="0"/>
              <w:spacing w:line="360" w:lineRule="auto"/>
              <w:jc w:val="center"/>
              <w:rPr>
                <w:rFonts w:ascii="宋体" w:hAnsi="宋体" w:cs="宋体"/>
                <w:sz w:val="24"/>
                <w:szCs w:val="24"/>
              </w:rPr>
            </w:pPr>
            <w:r>
              <w:rPr>
                <w:rFonts w:hint="eastAsia" w:ascii="宋体" w:hAnsi="宋体" w:cs="宋体"/>
                <w:sz w:val="24"/>
                <w:szCs w:val="24"/>
              </w:rPr>
              <w:t>台</w:t>
            </w:r>
          </w:p>
        </w:tc>
        <w:tc>
          <w:tcPr>
            <w:tcW w:w="438" w:type="pct"/>
            <w:tcBorders>
              <w:top w:val="single" w:color="auto" w:sz="4" w:space="0"/>
              <w:left w:val="single" w:color="auto" w:sz="4" w:space="0"/>
              <w:bottom w:val="single" w:color="auto" w:sz="4" w:space="0"/>
              <w:right w:val="single" w:color="auto" w:sz="4" w:space="0"/>
            </w:tcBorders>
            <w:vAlign w:val="center"/>
          </w:tcPr>
          <w:p w14:paraId="02FFFA2E">
            <w:pPr>
              <w:jc w:val="center"/>
              <w:rPr>
                <w:rFonts w:hint="eastAsia" w:eastAsia="宋体"/>
                <w:sz w:val="24"/>
                <w:szCs w:val="21"/>
                <w:lang w:eastAsia="zh-CN"/>
              </w:rPr>
            </w:pPr>
            <w:r>
              <w:rPr>
                <w:rFonts w:hint="eastAsia"/>
                <w:sz w:val="24"/>
                <w:szCs w:val="21"/>
                <w:lang w:val="en-US" w:eastAsia="zh-CN"/>
              </w:rPr>
              <w:t>6</w:t>
            </w:r>
          </w:p>
        </w:tc>
        <w:tc>
          <w:tcPr>
            <w:tcW w:w="3035" w:type="pct"/>
            <w:tcBorders>
              <w:top w:val="single" w:color="auto" w:sz="4" w:space="0"/>
              <w:left w:val="single" w:color="auto" w:sz="4" w:space="0"/>
              <w:bottom w:val="single" w:color="auto" w:sz="4" w:space="0"/>
              <w:right w:val="single" w:color="auto" w:sz="4" w:space="0"/>
            </w:tcBorders>
          </w:tcPr>
          <w:p w14:paraId="17EF8FB6">
            <w:pPr>
              <w:snapToGrid w:val="0"/>
              <w:spacing w:line="300" w:lineRule="exact"/>
              <w:jc w:val="left"/>
              <w:rPr>
                <w:rFonts w:hint="eastAsia" w:ascii="宋体" w:hAnsi="宋体" w:cs="宋体"/>
                <w:color w:val="000000"/>
                <w:sz w:val="24"/>
                <w:szCs w:val="24"/>
              </w:rPr>
            </w:pPr>
            <w:r>
              <w:rPr>
                <w:rFonts w:hint="eastAsia" w:ascii="宋体" w:hAnsi="宋体" w:cs="宋体"/>
                <w:color w:val="000000"/>
                <w:sz w:val="24"/>
                <w:szCs w:val="24"/>
              </w:rPr>
              <w:t>天津市宝坻区中医医院</w:t>
            </w:r>
          </w:p>
          <w:p w14:paraId="3FE6405B">
            <w:pPr>
              <w:spacing w:line="360" w:lineRule="auto"/>
              <w:jc w:val="left"/>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一、技术参数</w:t>
            </w:r>
          </w:p>
          <w:p w14:paraId="0B0AB69C">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★1.模块化插件式床边监护仪，主机、显示屏和插件槽一体化设计，主机模块插槽数≥6个（非电池插槽），且模块支持插入任意插槽</w:t>
            </w:r>
          </w:p>
          <w:p w14:paraId="62533208">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★2.配置≥4个USB接口，支持连接鼠标、键盘、条码扫描枪和遥控器等USB设备</w:t>
            </w:r>
          </w:p>
          <w:p w14:paraId="632B7735">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3.监护仪主机工作温度环境范围：0～40°C，可内置高能锂电池，供电时间≥2小时</w:t>
            </w:r>
          </w:p>
          <w:p w14:paraId="0CEC914F">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4.基本功能模块支持心电，呼吸，心率，无创血压，血氧饱和度，脉搏，双通道体温和双通道有创血压的同时监测</w:t>
            </w:r>
          </w:p>
          <w:p w14:paraId="7CF945A1">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基本功能模块支持升级从监护仪拔出后作为一个独立的监护仪支持病人的无缝转移，插入监护仪主机任意模块插槽作为主机模块，具有独立操作显示屏，屏幕尺寸≥5.5英寸，内置锂电池供电≥4小时，无风扇设计</w:t>
            </w:r>
          </w:p>
          <w:p w14:paraId="4D0667C1">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★6.支持室上性心动过速和SVCs/min等室上性心律失常分析</w:t>
            </w:r>
          </w:p>
          <w:p w14:paraId="733D8EBE">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7.心电支持≥4个分析导联实时动态同步分析，并非多个导联波形同屏显示及12导联静息分析</w:t>
            </w:r>
          </w:p>
          <w:p w14:paraId="4EE4AEE1">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8.无创血压提供手动、自动间隔、连续、序列、整点五种测量模式</w:t>
            </w:r>
          </w:p>
          <w:p w14:paraId="1E8E4822">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9.NIBP 成人病人类型收缩压测量：25～290mmHg</w:t>
            </w:r>
          </w:p>
          <w:p w14:paraId="10C78C11">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10.支持升级NIBP快速测量，测量时间≤15秒</w:t>
            </w:r>
          </w:p>
          <w:p w14:paraId="45B7839A">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11.配置指套式血氧探头，支持浸泡清洁与消毒，防水等级≥IPX7</w:t>
            </w:r>
          </w:p>
          <w:p w14:paraId="787AC6FB">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12.有创压适用于成人，小儿和新生儿，有创压测量范围：-50～360mmHg</w:t>
            </w:r>
          </w:p>
          <w:p w14:paraId="4B0484D0">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13.支持双通道有创压IBP监测，支持升级多达8通道有创压监测</w:t>
            </w:r>
          </w:p>
          <w:p w14:paraId="4CBEB202">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14.可通过模块升级：包括但不限于血流动力学PICCO，脑组织氧监测，麻醉气体AG，肌松NMT，呼末二氧化碳监测高级参数</w:t>
            </w:r>
          </w:p>
          <w:p w14:paraId="522541E0">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15.支持升级主流、旁流、微流EtC</w:t>
            </w:r>
            <w:r>
              <w:rPr>
                <w:rFonts w:hint="eastAsia" w:ascii="宋体" w:hAnsi="宋体" w:eastAsia="宋体" w:cs="宋体"/>
                <w:b w:val="0"/>
                <w:bCs w:val="0"/>
                <w:color w:val="auto"/>
                <w:sz w:val="24"/>
                <w:szCs w:val="24"/>
                <w:highlight w:val="none"/>
              </w:rPr>
              <w:t>O</w:t>
            </w:r>
            <w:r>
              <w:rPr>
                <w:rFonts w:hint="eastAsia" w:ascii="宋体" w:hAnsi="宋体" w:eastAsia="宋体" w:cs="宋体"/>
                <w:b w:val="0"/>
                <w:bCs w:val="0"/>
                <w:color w:val="auto"/>
                <w:sz w:val="24"/>
                <w:szCs w:val="24"/>
                <w:highlight w:val="none"/>
                <w:vertAlign w:val="subscript"/>
              </w:rPr>
              <w:t>2</w:t>
            </w:r>
            <w:r>
              <w:rPr>
                <w:rFonts w:hint="eastAsia" w:ascii="宋体" w:hAnsi="宋体" w:eastAsia="宋体" w:cs="宋体"/>
                <w:b w:val="0"/>
                <w:bCs w:val="0"/>
                <w:color w:val="auto"/>
                <w:sz w:val="24"/>
                <w:szCs w:val="24"/>
                <w:lang w:val="en-US" w:eastAsia="zh-CN"/>
              </w:rPr>
              <w:t>监测模块，旁流EtC</w:t>
            </w:r>
            <w:r>
              <w:rPr>
                <w:rFonts w:hint="eastAsia" w:ascii="宋体" w:hAnsi="宋体" w:eastAsia="宋体" w:cs="宋体"/>
                <w:b w:val="0"/>
                <w:bCs w:val="0"/>
                <w:color w:val="auto"/>
                <w:sz w:val="24"/>
                <w:szCs w:val="24"/>
                <w:highlight w:val="none"/>
              </w:rPr>
              <w:t>O</w:t>
            </w:r>
            <w:r>
              <w:rPr>
                <w:rFonts w:hint="eastAsia" w:ascii="宋体" w:hAnsi="宋体" w:eastAsia="宋体" w:cs="宋体"/>
                <w:b w:val="0"/>
                <w:bCs w:val="0"/>
                <w:color w:val="auto"/>
                <w:sz w:val="24"/>
                <w:szCs w:val="24"/>
                <w:highlight w:val="none"/>
                <w:vertAlign w:val="subscript"/>
              </w:rPr>
              <w:t>2</w:t>
            </w:r>
            <w:r>
              <w:rPr>
                <w:rFonts w:hint="eastAsia" w:ascii="宋体" w:hAnsi="宋体" w:eastAsia="宋体" w:cs="宋体"/>
                <w:b w:val="0"/>
                <w:bCs w:val="0"/>
                <w:color w:val="auto"/>
                <w:sz w:val="24"/>
                <w:szCs w:val="24"/>
                <w:lang w:val="en-US" w:eastAsia="zh-CN"/>
              </w:rPr>
              <w:t>监测模块支持升级顺磁氧监测技术进行氧气监测</w:t>
            </w:r>
          </w:p>
          <w:p w14:paraId="07CEC0D4">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★16.支持升级麻醉深度BIS或脑电麻醉深度指数，实现患者麻醉深度的监测。</w:t>
            </w:r>
          </w:p>
          <w:p w14:paraId="05A39BF4">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17.支持升级脑电图EEG，振幅整合脑电图aEEG监测模块，可提供4通道脑电图以及DSA致密频谱密度查看</w:t>
            </w:r>
          </w:p>
          <w:p w14:paraId="6C030CB5">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18.可具备FloTrac监测功能模块或可实现FloTrac技术单机产品，非漂浮导管热稀释法或无创阻抗法，可通过监测桡动脉压力提供连续心排量（CCO），每搏量变异（SVV），实时外周血管阻力（SVR）等监测参数，满足连续血流动力学监测需求</w:t>
            </w:r>
          </w:p>
          <w:p w14:paraId="27BB065F">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19.支持升级模块，进行RM呼吸力学监测，提供≥18项呼吸力学参数参数指标，可监测包括： PIF峰值吸气流量，PEF峰值呼气流量，NIF负吸入压力</w:t>
            </w:r>
          </w:p>
          <w:p w14:paraId="09FA13BD">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20.支持升级rS</w:t>
            </w:r>
            <w:r>
              <w:rPr>
                <w:rFonts w:hint="eastAsia" w:ascii="宋体" w:hAnsi="宋体" w:eastAsia="宋体" w:cs="宋体"/>
                <w:color w:val="auto"/>
                <w:kern w:val="2"/>
                <w:sz w:val="24"/>
                <w:szCs w:val="24"/>
                <w:highlight w:val="none"/>
                <w:vertAlign w:val="baseline"/>
                <w:lang w:val="en-US" w:eastAsia="zh-CN" w:bidi="ar-SA"/>
              </w:rPr>
              <w:t>O</w:t>
            </w:r>
            <w:r>
              <w:rPr>
                <w:rFonts w:hint="eastAsia" w:ascii="宋体" w:hAnsi="宋体" w:eastAsia="宋体" w:cs="宋体"/>
                <w:color w:val="auto"/>
                <w:kern w:val="2"/>
                <w:sz w:val="24"/>
                <w:szCs w:val="24"/>
                <w:highlight w:val="none"/>
                <w:vertAlign w:val="subscript"/>
                <w:lang w:val="en-US" w:eastAsia="zh-CN" w:bidi="ar-SA"/>
              </w:rPr>
              <w:t>2</w:t>
            </w:r>
            <w:r>
              <w:rPr>
                <w:rFonts w:hint="eastAsia" w:ascii="宋体" w:hAnsi="宋体" w:eastAsia="宋体" w:cs="宋体"/>
                <w:b w:val="0"/>
                <w:bCs w:val="0"/>
                <w:color w:val="auto"/>
                <w:sz w:val="24"/>
                <w:szCs w:val="24"/>
                <w:lang w:val="en-US" w:eastAsia="zh-CN"/>
              </w:rPr>
              <w:t>模块实现脑部血氧饱和度监测，适用于重量大于 2.5kg的成人、小儿，最多支持四通道的 rS</w:t>
            </w:r>
            <w:r>
              <w:rPr>
                <w:rFonts w:hint="eastAsia" w:ascii="宋体" w:hAnsi="宋体" w:eastAsia="宋体" w:cs="宋体"/>
                <w:color w:val="auto"/>
                <w:kern w:val="2"/>
                <w:sz w:val="24"/>
                <w:szCs w:val="24"/>
                <w:highlight w:val="none"/>
                <w:vertAlign w:val="baseline"/>
                <w:lang w:val="en-US" w:eastAsia="zh-CN" w:bidi="ar-SA"/>
              </w:rPr>
              <w:t>O</w:t>
            </w:r>
            <w:r>
              <w:rPr>
                <w:rFonts w:hint="eastAsia" w:ascii="宋体" w:hAnsi="宋体" w:eastAsia="宋体" w:cs="宋体"/>
                <w:color w:val="auto"/>
                <w:kern w:val="2"/>
                <w:sz w:val="24"/>
                <w:szCs w:val="24"/>
                <w:highlight w:val="none"/>
                <w:vertAlign w:val="subscript"/>
                <w:lang w:val="en-US" w:eastAsia="zh-CN" w:bidi="ar-SA"/>
              </w:rPr>
              <w:t>2</w:t>
            </w:r>
            <w:r>
              <w:rPr>
                <w:rFonts w:hint="eastAsia" w:ascii="宋体" w:hAnsi="宋体" w:eastAsia="宋体" w:cs="宋体"/>
                <w:b w:val="0"/>
                <w:bCs w:val="0"/>
                <w:color w:val="auto"/>
                <w:sz w:val="24"/>
                <w:szCs w:val="24"/>
                <w:lang w:val="en-US" w:eastAsia="zh-CN"/>
              </w:rPr>
              <w:t xml:space="preserve"> 测量，rS</w:t>
            </w:r>
            <w:r>
              <w:rPr>
                <w:rFonts w:hint="eastAsia" w:ascii="宋体" w:hAnsi="宋体" w:eastAsia="宋体" w:cs="宋体"/>
                <w:color w:val="auto"/>
                <w:kern w:val="2"/>
                <w:sz w:val="24"/>
                <w:szCs w:val="24"/>
                <w:highlight w:val="none"/>
                <w:vertAlign w:val="baseline"/>
                <w:lang w:val="en-US" w:eastAsia="zh-CN" w:bidi="ar-SA"/>
              </w:rPr>
              <w:t>O</w:t>
            </w:r>
            <w:r>
              <w:rPr>
                <w:rFonts w:hint="eastAsia" w:ascii="宋体" w:hAnsi="宋体" w:eastAsia="宋体" w:cs="宋体"/>
                <w:color w:val="auto"/>
                <w:kern w:val="2"/>
                <w:sz w:val="24"/>
                <w:szCs w:val="24"/>
                <w:highlight w:val="none"/>
                <w:vertAlign w:val="subscript"/>
                <w:lang w:val="en-US" w:eastAsia="zh-CN" w:bidi="ar-SA"/>
              </w:rPr>
              <w:t>2</w:t>
            </w:r>
            <w:r>
              <w:rPr>
                <w:rFonts w:hint="eastAsia" w:ascii="宋体" w:hAnsi="宋体" w:eastAsia="宋体" w:cs="宋体"/>
                <w:b w:val="0"/>
                <w:bCs w:val="0"/>
                <w:color w:val="auto"/>
                <w:sz w:val="24"/>
                <w:szCs w:val="24"/>
                <w:lang w:val="en-US" w:eastAsia="zh-CN"/>
              </w:rPr>
              <w:t>的传感器（非主电缆）可配置重复用耗材</w:t>
            </w:r>
          </w:p>
          <w:p w14:paraId="77BF5D3E">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21.支持升级模块，可与主流品牌的呼吸机、输注泵产品相连，实现呼吸机、输注泵设备的信息在监护仪上显示、存储、记录、打印或者用于参与计算。</w:t>
            </w:r>
          </w:p>
          <w:p w14:paraId="3A65A7A7">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22.支持升级NFC功能，可实现通过NFC拓展连接体温监测等设备</w:t>
            </w:r>
          </w:p>
          <w:p w14:paraId="024D10E6">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23.具有报警升级功能，当参数报警经过一定的时间未被处理或伴发了其他报警，就会升级到更高一个级别</w:t>
            </w:r>
          </w:p>
          <w:p w14:paraId="6A8072D5">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24.具有特殊报警音，当监护仪在病人发生致命性参数报警时，发出特殊的报警音进行提示病人处于危急状态，支持根据病人的参数趋势变化，自动推送推荐报警限</w:t>
            </w:r>
          </w:p>
          <w:p w14:paraId="6AD73D54">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25.具备参数组合报警功能（并非早期预警评分EWS），可对患者同时多个参数变化给出统一报警提示，预示病人不同生理系统状态改变，提供≥10个预设组合报警，并允许自定义≥6个组合报警</w:t>
            </w:r>
          </w:p>
          <w:p w14:paraId="67D461A8">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26.可升级输注泵用药信息回顾工具，可同时间轴显示病人生命体征参数及用药信息回顾，呈现病人生命体征变化趋势与药物输注流速变化之间的关系</w:t>
            </w:r>
          </w:p>
          <w:p w14:paraId="5073C1DE">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27.支持≥800条事件回顾。每条报警事件至少能够存储32秒三道相关波形，以及报警触发时所有测量参数值</w:t>
            </w:r>
          </w:p>
          <w:p w14:paraId="5CACCCBD">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28.具备≥40小时全息波形的存储与回顾功能，支持≥120小时（分辨率1分钟）ST模板存储与回顾</w:t>
            </w:r>
          </w:p>
          <w:p w14:paraId="0E09B517">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29.支持与除颤监护仪，遥测混合联通至中心监护系统，实现护士站的集中管理</w:t>
            </w:r>
          </w:p>
          <w:p w14:paraId="733DD354">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30.监护仪的报警可支持单机、中央站推送，支持升级推送方式包括不限于移动端、手环等方式实现</w:t>
            </w:r>
          </w:p>
          <w:p w14:paraId="553DC450">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31.监护仪</w:t>
            </w:r>
            <w:r>
              <w:rPr>
                <w:rFonts w:hint="eastAsia" w:ascii="宋体" w:hAnsi="宋体" w:eastAsia="宋体" w:cs="宋体"/>
                <w:b w:val="0"/>
                <w:bCs w:val="0"/>
                <w:color w:val="auto"/>
                <w:sz w:val="24"/>
                <w:szCs w:val="24"/>
              </w:rPr>
              <w:t>可与呼吸机以及输注泵通过无线</w:t>
            </w:r>
            <w:r>
              <w:rPr>
                <w:rFonts w:hint="eastAsia" w:ascii="宋体" w:hAnsi="宋体" w:eastAsia="宋体" w:cs="宋体"/>
                <w:b w:val="0"/>
                <w:bCs w:val="0"/>
                <w:color w:val="auto"/>
                <w:sz w:val="24"/>
                <w:szCs w:val="24"/>
                <w:lang w:val="en-US" w:eastAsia="zh-CN"/>
              </w:rPr>
              <w:t>或有线的</w:t>
            </w:r>
            <w:r>
              <w:rPr>
                <w:rFonts w:hint="eastAsia" w:ascii="宋体" w:hAnsi="宋体" w:eastAsia="宋体" w:cs="宋体"/>
                <w:b w:val="0"/>
                <w:bCs w:val="0"/>
                <w:color w:val="auto"/>
                <w:sz w:val="24"/>
                <w:szCs w:val="24"/>
              </w:rPr>
              <w:t>方式融合显示在中央站界面</w:t>
            </w:r>
          </w:p>
          <w:p w14:paraId="35163960">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32.设备使用年限≥10年（提供出厂铭牌或说明书）；</w:t>
            </w:r>
          </w:p>
          <w:p w14:paraId="6304F851">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二.配置要求</w:t>
            </w:r>
          </w:p>
          <w:p w14:paraId="4AE69716">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天津市宝坻区中医医院 3台 预算：13万元/台</w:t>
            </w:r>
          </w:p>
          <w:p w14:paraId="7651D58D">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1.插件式监护仪（含双通道有创压监测）3台 </w:t>
            </w:r>
          </w:p>
          <w:p w14:paraId="2F177C21">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2.配套中央监护系统1套，与院内相关网络信息系统连接</w:t>
            </w:r>
          </w:p>
          <w:p w14:paraId="66F97035">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3.配套附件（含心电导联线、血氧线缆及传感器、无创血压导管及袖带）3套</w:t>
            </w:r>
          </w:p>
          <w:p w14:paraId="187E3F81">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4.电极片500个</w:t>
            </w:r>
          </w:p>
          <w:p w14:paraId="70ABAFFF">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5.主机屏幕≥18英寸彩色电容触摸屏，高分辨率≥1920×1080像素，≥12通道显示，显示屏亮度自动调节</w:t>
            </w:r>
          </w:p>
          <w:p w14:paraId="5110D44C">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天津市宝坻区中医医院 3台 预算：7.5万元/台</w:t>
            </w:r>
          </w:p>
          <w:p w14:paraId="42D43B77">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1.插件式监护仪（含双通道有创压监测）3台 </w:t>
            </w:r>
          </w:p>
          <w:p w14:paraId="50D4D553">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2.配套中央监护系统1套，与院内相关网络信息系统连接</w:t>
            </w:r>
          </w:p>
          <w:p w14:paraId="5EDB53AA">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3.配套附件（含心电导联线、血氧线缆及传感器、无创血压导管及袖带）3套</w:t>
            </w:r>
          </w:p>
          <w:p w14:paraId="63C84503">
            <w:pPr>
              <w:spacing w:line="360" w:lineRule="auto"/>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4.电极片500个</w:t>
            </w:r>
          </w:p>
          <w:p w14:paraId="3ABF8D4A">
            <w:pPr>
              <w:snapToGrid w:val="0"/>
              <w:spacing w:line="300" w:lineRule="exact"/>
              <w:jc w:val="left"/>
              <w:rPr>
                <w:rFonts w:hint="eastAsia" w:ascii="宋体" w:hAnsi="宋体" w:cs="宋体"/>
                <w:color w:val="000000"/>
                <w:sz w:val="24"/>
                <w:szCs w:val="24"/>
              </w:rPr>
            </w:pPr>
            <w:r>
              <w:rPr>
                <w:rFonts w:hint="eastAsia" w:ascii="宋体" w:hAnsi="宋体" w:eastAsia="宋体" w:cs="宋体"/>
                <w:b w:val="0"/>
                <w:bCs w:val="0"/>
                <w:color w:val="auto"/>
                <w:sz w:val="24"/>
                <w:szCs w:val="24"/>
                <w:lang w:val="en-US" w:eastAsia="zh-CN"/>
              </w:rPr>
              <w:t>5.主机屏幕≥15英寸彩色电容触摸屏，高分辨率≥1920×1080像素，≥10通道显示，显示屏亮度自动调节</w:t>
            </w:r>
          </w:p>
        </w:tc>
      </w:tr>
    </w:tbl>
    <w:p w14:paraId="21D31BDD">
      <w:pPr>
        <w:pStyle w:val="16"/>
        <w:spacing w:line="360" w:lineRule="auto"/>
        <w:ind w:firstLine="480" w:firstLineChars="200"/>
        <w:jc w:val="both"/>
        <w:rPr>
          <w:rFonts w:hint="eastAsia" w:ascii="Times New Roman" w:hAnsi="Times New Roman" w:eastAsia="宋体" w:cs="Times New Roman"/>
          <w:color w:val="auto"/>
        </w:rPr>
      </w:pPr>
    </w:p>
    <w:p w14:paraId="0291852D">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第二包：监护仪8台</w:t>
      </w:r>
    </w:p>
    <w:p w14:paraId="1EFC1A95">
      <w:pPr>
        <w:pStyle w:val="16"/>
        <w:spacing w:line="360" w:lineRule="auto"/>
        <w:ind w:firstLine="480"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14:paraId="7BF8159E">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所投全部产品须按照《医疗器械注册与备案管理办法》（国家市场监督管理总局令第47号）的规定，提供医疗器械备案证明材料或医疗器械注册证扫描件。</w:t>
      </w:r>
    </w:p>
    <w:p w14:paraId="0C31A39B">
      <w:pPr>
        <w:spacing w:line="360" w:lineRule="auto"/>
        <w:ind w:firstLine="480" w:firstLineChars="200"/>
        <w:outlineLvl w:val="0"/>
        <w:rPr>
          <w:sz w:val="24"/>
        </w:rPr>
      </w:pPr>
      <w:r>
        <w:rPr>
          <w:rFonts w:hint="eastAsia"/>
          <w:sz w:val="24"/>
        </w:rPr>
        <w:t>2. 技术参数</w:t>
      </w:r>
    </w:p>
    <w:tbl>
      <w:tblPr>
        <w:tblStyle w:val="7"/>
        <w:tblW w:w="56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364"/>
        <w:gridCol w:w="755"/>
        <w:gridCol w:w="850"/>
        <w:gridCol w:w="5887"/>
      </w:tblGrid>
      <w:tr w14:paraId="7A3E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433" w:type="pct"/>
            <w:tcBorders>
              <w:top w:val="single" w:color="auto" w:sz="4" w:space="0"/>
              <w:left w:val="single" w:color="auto" w:sz="4" w:space="0"/>
              <w:bottom w:val="single" w:color="auto" w:sz="4" w:space="0"/>
              <w:right w:val="single" w:color="auto" w:sz="4" w:space="0"/>
            </w:tcBorders>
            <w:vAlign w:val="center"/>
          </w:tcPr>
          <w:p w14:paraId="179E394E">
            <w:pPr>
              <w:widowControl/>
              <w:jc w:val="center"/>
              <w:rPr>
                <w:rFonts w:cs="宋体"/>
                <w:kern w:val="0"/>
                <w:sz w:val="24"/>
                <w:szCs w:val="24"/>
              </w:rPr>
            </w:pPr>
            <w:r>
              <w:rPr>
                <w:rFonts w:hint="eastAsia" w:cs="宋体"/>
                <w:kern w:val="0"/>
                <w:sz w:val="24"/>
              </w:rPr>
              <w:t>序号</w:t>
            </w:r>
          </w:p>
        </w:tc>
        <w:tc>
          <w:tcPr>
            <w:tcW w:w="703" w:type="pct"/>
            <w:tcBorders>
              <w:top w:val="single" w:color="auto" w:sz="4" w:space="0"/>
              <w:left w:val="single" w:color="auto" w:sz="4" w:space="0"/>
              <w:bottom w:val="single" w:color="auto" w:sz="4" w:space="0"/>
              <w:right w:val="single" w:color="auto" w:sz="4" w:space="0"/>
            </w:tcBorders>
            <w:vAlign w:val="center"/>
          </w:tcPr>
          <w:p w14:paraId="509D8E69">
            <w:pPr>
              <w:widowControl/>
              <w:jc w:val="center"/>
              <w:rPr>
                <w:rFonts w:cs="宋体"/>
                <w:kern w:val="0"/>
                <w:sz w:val="24"/>
                <w:szCs w:val="24"/>
              </w:rPr>
            </w:pPr>
            <w:r>
              <w:rPr>
                <w:rFonts w:hint="eastAsia" w:cs="宋体"/>
                <w:kern w:val="0"/>
                <w:sz w:val="24"/>
              </w:rPr>
              <w:t>标的名称</w:t>
            </w:r>
          </w:p>
        </w:tc>
        <w:tc>
          <w:tcPr>
            <w:tcW w:w="389" w:type="pct"/>
            <w:tcBorders>
              <w:top w:val="single" w:color="auto" w:sz="4" w:space="0"/>
              <w:left w:val="single" w:color="auto" w:sz="4" w:space="0"/>
              <w:bottom w:val="single" w:color="auto" w:sz="4" w:space="0"/>
              <w:right w:val="single" w:color="auto" w:sz="4" w:space="0"/>
            </w:tcBorders>
            <w:vAlign w:val="center"/>
          </w:tcPr>
          <w:p w14:paraId="34E0027A">
            <w:pPr>
              <w:widowControl/>
              <w:jc w:val="center"/>
              <w:rPr>
                <w:rFonts w:cs="宋体"/>
                <w:kern w:val="0"/>
                <w:sz w:val="24"/>
                <w:szCs w:val="24"/>
              </w:rPr>
            </w:pPr>
            <w:r>
              <w:rPr>
                <w:rFonts w:cs="宋体"/>
                <w:kern w:val="0"/>
                <w:sz w:val="24"/>
                <w:szCs w:val="24"/>
              </w:rPr>
              <w:t>单位</w:t>
            </w:r>
            <w:r>
              <w:rPr>
                <w:rFonts w:hint="eastAsia" w:cs="宋体"/>
                <w:kern w:val="0"/>
                <w:sz w:val="24"/>
                <w:szCs w:val="24"/>
              </w:rPr>
              <w:t xml:space="preserve"> </w:t>
            </w:r>
          </w:p>
        </w:tc>
        <w:tc>
          <w:tcPr>
            <w:tcW w:w="438" w:type="pct"/>
            <w:tcBorders>
              <w:top w:val="single" w:color="auto" w:sz="4" w:space="0"/>
              <w:left w:val="single" w:color="auto" w:sz="4" w:space="0"/>
              <w:bottom w:val="single" w:color="auto" w:sz="4" w:space="0"/>
              <w:right w:val="single" w:color="auto" w:sz="4" w:space="0"/>
            </w:tcBorders>
            <w:vAlign w:val="center"/>
          </w:tcPr>
          <w:p w14:paraId="2BE3263C">
            <w:pPr>
              <w:widowControl/>
              <w:jc w:val="center"/>
              <w:rPr>
                <w:rFonts w:cs="宋体"/>
                <w:kern w:val="0"/>
                <w:sz w:val="24"/>
              </w:rPr>
            </w:pPr>
            <w:r>
              <w:rPr>
                <w:rFonts w:hint="eastAsia" w:cs="宋体"/>
                <w:kern w:val="0"/>
                <w:sz w:val="24"/>
              </w:rPr>
              <w:t>数量</w:t>
            </w:r>
          </w:p>
        </w:tc>
        <w:tc>
          <w:tcPr>
            <w:tcW w:w="3035" w:type="pct"/>
            <w:tcBorders>
              <w:top w:val="single" w:color="auto" w:sz="4" w:space="0"/>
              <w:left w:val="single" w:color="auto" w:sz="4" w:space="0"/>
              <w:bottom w:val="single" w:color="auto" w:sz="4" w:space="0"/>
              <w:right w:val="single" w:color="auto" w:sz="4" w:space="0"/>
            </w:tcBorders>
            <w:vAlign w:val="center"/>
          </w:tcPr>
          <w:p w14:paraId="39776130">
            <w:pPr>
              <w:widowControl/>
              <w:spacing w:line="300" w:lineRule="exact"/>
              <w:jc w:val="center"/>
              <w:rPr>
                <w:rFonts w:cs="宋体"/>
                <w:kern w:val="0"/>
                <w:sz w:val="24"/>
                <w:szCs w:val="24"/>
              </w:rPr>
            </w:pPr>
            <w:r>
              <w:rPr>
                <w:rFonts w:hint="eastAsia" w:cs="宋体"/>
                <w:kern w:val="0"/>
                <w:sz w:val="24"/>
              </w:rPr>
              <w:t>需求条款</w:t>
            </w:r>
          </w:p>
        </w:tc>
      </w:tr>
      <w:tr w14:paraId="6807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14:paraId="50A94316">
            <w:pPr>
              <w:snapToGrid w:val="0"/>
              <w:spacing w:line="360" w:lineRule="auto"/>
              <w:jc w:val="center"/>
              <w:rPr>
                <w:rFonts w:ascii="宋体" w:hAnsi="宋体" w:cs="宋体"/>
                <w:sz w:val="24"/>
                <w:szCs w:val="24"/>
              </w:rPr>
            </w:pPr>
            <w:r>
              <w:rPr>
                <w:rFonts w:hint="eastAsia" w:ascii="宋体" w:hAnsi="宋体" w:cs="宋体"/>
                <w:sz w:val="24"/>
                <w:szCs w:val="24"/>
              </w:rPr>
              <w:t>1</w:t>
            </w:r>
          </w:p>
        </w:tc>
        <w:tc>
          <w:tcPr>
            <w:tcW w:w="703" w:type="pct"/>
            <w:tcBorders>
              <w:top w:val="single" w:color="auto" w:sz="4" w:space="0"/>
              <w:left w:val="single" w:color="auto" w:sz="4" w:space="0"/>
              <w:bottom w:val="single" w:color="auto" w:sz="4" w:space="0"/>
              <w:right w:val="single" w:color="auto" w:sz="4" w:space="0"/>
            </w:tcBorders>
            <w:vAlign w:val="center"/>
          </w:tcPr>
          <w:p w14:paraId="4FF3BBDA">
            <w:pPr>
              <w:snapToGrid w:val="0"/>
              <w:spacing w:line="360" w:lineRule="auto"/>
              <w:jc w:val="center"/>
              <w:rPr>
                <w:rFonts w:ascii="宋体" w:hAnsi="宋体" w:cs="宋体"/>
                <w:sz w:val="24"/>
                <w:szCs w:val="24"/>
              </w:rPr>
            </w:pPr>
            <w:r>
              <w:rPr>
                <w:rFonts w:hint="eastAsia" w:ascii="宋体" w:hAnsi="宋体" w:cs="宋体"/>
                <w:sz w:val="24"/>
                <w:szCs w:val="24"/>
              </w:rPr>
              <w:t>监护仪</w:t>
            </w:r>
          </w:p>
        </w:tc>
        <w:tc>
          <w:tcPr>
            <w:tcW w:w="389" w:type="pct"/>
            <w:tcBorders>
              <w:top w:val="single" w:color="auto" w:sz="4" w:space="0"/>
              <w:left w:val="single" w:color="auto" w:sz="4" w:space="0"/>
              <w:bottom w:val="single" w:color="auto" w:sz="4" w:space="0"/>
              <w:right w:val="single" w:color="auto" w:sz="4" w:space="0"/>
            </w:tcBorders>
            <w:vAlign w:val="center"/>
          </w:tcPr>
          <w:p w14:paraId="717B6572">
            <w:pPr>
              <w:snapToGrid w:val="0"/>
              <w:spacing w:line="360" w:lineRule="auto"/>
              <w:jc w:val="center"/>
              <w:rPr>
                <w:rFonts w:ascii="宋体" w:hAnsi="宋体" w:cs="宋体"/>
                <w:sz w:val="24"/>
                <w:szCs w:val="24"/>
              </w:rPr>
            </w:pPr>
            <w:r>
              <w:rPr>
                <w:rFonts w:hint="eastAsia" w:ascii="宋体" w:hAnsi="宋体" w:cs="宋体"/>
                <w:sz w:val="24"/>
                <w:szCs w:val="24"/>
              </w:rPr>
              <w:t>台</w:t>
            </w:r>
          </w:p>
        </w:tc>
        <w:tc>
          <w:tcPr>
            <w:tcW w:w="438" w:type="pct"/>
            <w:tcBorders>
              <w:top w:val="single" w:color="auto" w:sz="4" w:space="0"/>
              <w:left w:val="single" w:color="auto" w:sz="4" w:space="0"/>
              <w:bottom w:val="single" w:color="auto" w:sz="4" w:space="0"/>
              <w:right w:val="single" w:color="auto" w:sz="4" w:space="0"/>
            </w:tcBorders>
            <w:vAlign w:val="center"/>
          </w:tcPr>
          <w:p w14:paraId="156F5433">
            <w:pPr>
              <w:snapToGrid w:val="0"/>
              <w:spacing w:line="360" w:lineRule="auto"/>
              <w:jc w:val="center"/>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 xml:space="preserve"> </w:t>
            </w:r>
          </w:p>
        </w:tc>
        <w:tc>
          <w:tcPr>
            <w:tcW w:w="3035" w:type="pct"/>
            <w:tcBorders>
              <w:top w:val="single" w:color="auto" w:sz="4" w:space="0"/>
              <w:left w:val="single" w:color="auto" w:sz="4" w:space="0"/>
              <w:bottom w:val="single" w:color="auto" w:sz="4" w:space="0"/>
              <w:right w:val="single" w:color="auto" w:sz="4" w:space="0"/>
            </w:tcBorders>
            <w:vAlign w:val="center"/>
          </w:tcPr>
          <w:p w14:paraId="0096CC9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一、产品用途：用于床旁患者的生命体征参数监测，对异常参数进行实时报警，辅助临床决策。</w:t>
            </w:r>
          </w:p>
          <w:p w14:paraId="675BB94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二、技术参数</w:t>
            </w:r>
            <w:r>
              <w:rPr>
                <w:rFonts w:hint="eastAsia" w:ascii="宋体" w:hAnsi="宋体" w:eastAsia="宋体" w:cs="宋体"/>
                <w:color w:val="auto"/>
                <w:sz w:val="24"/>
                <w:szCs w:val="24"/>
              </w:rPr>
              <w:tab/>
            </w:r>
          </w:p>
          <w:p w14:paraId="44D0E46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★1.模块化插件式床边监护仪，主机、显示屏和插件槽一体化设计，主机模块插槽数≥4个，主机屏幕≥12英寸彩色电容触摸屏，高分辨率≥1280×800像素，≥8通道显示，显示屏亮度自动调节；</w:t>
            </w:r>
          </w:p>
          <w:p w14:paraId="68D4739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 配置≥4个USB接口，支持连接鼠标、键盘、条码扫描枪和遥控器等USB设备；</w:t>
            </w:r>
          </w:p>
          <w:p w14:paraId="7E83802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 基本功能模块支持心电，呼吸，心率，无创血压，血氧饱和度，脉搏，双通道体温和双通道有创血压的同时监测；</w:t>
            </w:r>
          </w:p>
          <w:p w14:paraId="583AE79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 基本功能模块支持升级从监护仪拔出后作为一个独立的监护仪支持病人的无缝转移，插入监护仪模块插槽作为主机模块，具有独立操作显示屏，屏幕尺寸≥5.5英寸，内置锂电池供电≥4小时，无风扇设计；</w:t>
            </w:r>
          </w:p>
          <w:p w14:paraId="6E55703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 无创血压提供手动、自动间隔、连续、序列、整点五种测量模式；</w:t>
            </w:r>
          </w:p>
          <w:p w14:paraId="0A67555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6. 有创压适用于成人，小儿和新生儿，有创压测量范围：-50～360mmHg；</w:t>
            </w:r>
          </w:p>
          <w:p w14:paraId="0008082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7. 具有报警升级功能，当参数报警经过一定的时间未被处理或伴发了其他报警，就会升级到更高一个级别；</w:t>
            </w:r>
          </w:p>
          <w:p w14:paraId="1049B5C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8. 具备3/5导心电监测。</w:t>
            </w:r>
          </w:p>
          <w:p w14:paraId="6407525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9. 具备房颤心律失常分析功能，具备不少于30种实时心律失常分析。</w:t>
            </w:r>
          </w:p>
          <w:p w14:paraId="79C72A5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10. 可监测ST段抬高或者压低，提供ST报警。提供单个或多个ST值报警，并支持相对的报警限设置。</w:t>
            </w:r>
          </w:p>
          <w:p w14:paraId="2AC3AC6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11. 提供导联类型自动识别功能，具备智能导联脱落监测功能，导联脱落的情况下仍能保持监护。</w:t>
            </w:r>
          </w:p>
          <w:p w14:paraId="1D8D23E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12. 共模抑制比：≥135dB。</w:t>
            </w:r>
          </w:p>
          <w:p w14:paraId="3279CB7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★13.无创血压测量算法类型支持≥2种测量算法。</w:t>
            </w:r>
          </w:p>
          <w:p w14:paraId="673F25E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14. 血氧监测可提供灌注指数（PI）的监测。</w:t>
            </w:r>
          </w:p>
          <w:p w14:paraId="3E4CCB7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15.可通过模块升级：二氧化碳、氧气、脑电（EEG）、双频指数BIS、麻醉气体AG、电阻抗心动描记（ICG）、呼吸力学（RM）、有创心排量（C.O.）、有创连续心排量（CCO：PiCCO）、神经肌肉传导（NMT）；</w:t>
            </w:r>
          </w:p>
          <w:p w14:paraId="35D8E4F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16. 工作模式可提供：监护模式、待机模式、插管模式，夜间模式、演示模式等。</w:t>
            </w:r>
          </w:p>
          <w:p w14:paraId="09450D6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17. 具备血液动力学，药物计算，氧合计算，通气计算和肾功能计算功能。</w:t>
            </w:r>
          </w:p>
          <w:p w14:paraId="0920CA1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三、配置要求</w:t>
            </w:r>
          </w:p>
          <w:p w14:paraId="4D97452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1.主机（4槽及以上）</w:t>
            </w:r>
          </w:p>
          <w:p w14:paraId="73F3693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2.电容触摸屏</w:t>
            </w:r>
          </w:p>
          <w:p w14:paraId="04A7ABC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3.4G内置存储卡</w:t>
            </w:r>
          </w:p>
          <w:p w14:paraId="4CD86A5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4.电极片+导联线+电缆（5导,成人按扣抗除颤型,AHA）</w:t>
            </w:r>
          </w:p>
          <w:p w14:paraId="0229D01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5.导气管+成人无内胆袖带</w:t>
            </w:r>
          </w:p>
          <w:p w14:paraId="6E36226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6血氧探头+血氧主电缆</w:t>
            </w:r>
          </w:p>
          <w:p w14:paraId="56D20B81">
            <w:pPr>
              <w:snapToGrid w:val="0"/>
              <w:spacing w:line="300" w:lineRule="exact"/>
              <w:jc w:val="left"/>
              <w:rPr>
                <w:rFonts w:ascii="宋体" w:hAnsi="宋体" w:cs="宋体"/>
                <w:b/>
                <w:bCs/>
                <w:sz w:val="24"/>
                <w:szCs w:val="24"/>
              </w:rPr>
            </w:pPr>
            <w:r>
              <w:rPr>
                <w:rFonts w:hint="eastAsia" w:ascii="宋体" w:hAnsi="宋体" w:eastAsia="宋体" w:cs="宋体"/>
                <w:color w:val="auto"/>
                <w:sz w:val="24"/>
                <w:szCs w:val="24"/>
              </w:rPr>
              <w:t>7.热敏打印机</w:t>
            </w:r>
          </w:p>
        </w:tc>
      </w:tr>
    </w:tbl>
    <w:p w14:paraId="1729F54C">
      <w:pPr>
        <w:pStyle w:val="16"/>
        <w:spacing w:line="360" w:lineRule="auto"/>
        <w:ind w:firstLine="480" w:firstLineChars="200"/>
        <w:jc w:val="both"/>
        <w:rPr>
          <w:rFonts w:hint="eastAsia" w:ascii="Times New Roman" w:hAnsi="Times New Roman" w:eastAsia="宋体" w:cs="Times New Roman"/>
          <w:color w:val="auto"/>
        </w:rPr>
      </w:pPr>
    </w:p>
    <w:p w14:paraId="33885D7C">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第三包：呼吸机（1）2台、呼吸机（2）1</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台</w:t>
      </w:r>
    </w:p>
    <w:p w14:paraId="7BFA9B5D">
      <w:pPr>
        <w:pStyle w:val="16"/>
        <w:spacing w:line="360" w:lineRule="auto"/>
        <w:ind w:firstLine="480"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14:paraId="0C274074">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所投产品须按照《医疗器械注册与备案管理办法》（国家市场监督管理总局令第47号）的规定，提供医疗器械备案证明材料或医疗器械注册证扫描件。</w:t>
      </w:r>
    </w:p>
    <w:p w14:paraId="1ED901C5">
      <w:pPr>
        <w:spacing w:line="360" w:lineRule="auto"/>
        <w:ind w:firstLine="480" w:firstLineChars="200"/>
        <w:outlineLvl w:val="0"/>
        <w:rPr>
          <w:sz w:val="24"/>
        </w:rPr>
      </w:pPr>
      <w:r>
        <w:rPr>
          <w:rFonts w:hint="eastAsia"/>
          <w:sz w:val="24"/>
        </w:rPr>
        <w:t>2. 技术参数</w:t>
      </w:r>
    </w:p>
    <w:tbl>
      <w:tblPr>
        <w:tblStyle w:val="7"/>
        <w:tblW w:w="56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364"/>
        <w:gridCol w:w="755"/>
        <w:gridCol w:w="850"/>
        <w:gridCol w:w="5885"/>
      </w:tblGrid>
      <w:tr w14:paraId="7957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434" w:type="pct"/>
            <w:tcBorders>
              <w:top w:val="single" w:color="auto" w:sz="4" w:space="0"/>
              <w:left w:val="single" w:color="auto" w:sz="4" w:space="0"/>
              <w:bottom w:val="single" w:color="auto" w:sz="4" w:space="0"/>
              <w:right w:val="single" w:color="auto" w:sz="4" w:space="0"/>
            </w:tcBorders>
            <w:vAlign w:val="center"/>
          </w:tcPr>
          <w:p w14:paraId="60E775DA">
            <w:pPr>
              <w:widowControl/>
              <w:jc w:val="center"/>
              <w:rPr>
                <w:rFonts w:cs="宋体"/>
                <w:kern w:val="0"/>
                <w:sz w:val="24"/>
                <w:szCs w:val="24"/>
              </w:rPr>
            </w:pPr>
            <w:r>
              <w:rPr>
                <w:rFonts w:hint="eastAsia" w:cs="宋体"/>
                <w:kern w:val="0"/>
                <w:sz w:val="24"/>
              </w:rPr>
              <w:t>序号</w:t>
            </w:r>
          </w:p>
        </w:tc>
        <w:tc>
          <w:tcPr>
            <w:tcW w:w="703" w:type="pct"/>
            <w:tcBorders>
              <w:top w:val="single" w:color="auto" w:sz="4" w:space="0"/>
              <w:left w:val="single" w:color="auto" w:sz="4" w:space="0"/>
              <w:bottom w:val="single" w:color="auto" w:sz="4" w:space="0"/>
              <w:right w:val="single" w:color="auto" w:sz="4" w:space="0"/>
            </w:tcBorders>
            <w:vAlign w:val="center"/>
          </w:tcPr>
          <w:p w14:paraId="0CEA8DCE">
            <w:pPr>
              <w:widowControl/>
              <w:jc w:val="center"/>
              <w:rPr>
                <w:rFonts w:cs="宋体"/>
                <w:kern w:val="0"/>
                <w:sz w:val="24"/>
                <w:szCs w:val="24"/>
              </w:rPr>
            </w:pPr>
            <w:r>
              <w:rPr>
                <w:rFonts w:hint="eastAsia" w:cs="宋体"/>
                <w:kern w:val="0"/>
                <w:sz w:val="24"/>
              </w:rPr>
              <w:t>标的名称</w:t>
            </w:r>
          </w:p>
        </w:tc>
        <w:tc>
          <w:tcPr>
            <w:tcW w:w="389" w:type="pct"/>
            <w:tcBorders>
              <w:top w:val="single" w:color="auto" w:sz="4" w:space="0"/>
              <w:left w:val="single" w:color="auto" w:sz="4" w:space="0"/>
              <w:bottom w:val="single" w:color="auto" w:sz="4" w:space="0"/>
              <w:right w:val="single" w:color="auto" w:sz="4" w:space="0"/>
            </w:tcBorders>
            <w:vAlign w:val="center"/>
          </w:tcPr>
          <w:p w14:paraId="32469B77">
            <w:pPr>
              <w:widowControl/>
              <w:jc w:val="center"/>
              <w:rPr>
                <w:rFonts w:cs="宋体"/>
                <w:kern w:val="0"/>
                <w:sz w:val="24"/>
                <w:szCs w:val="24"/>
              </w:rPr>
            </w:pPr>
            <w:r>
              <w:rPr>
                <w:rFonts w:cs="宋体"/>
                <w:kern w:val="0"/>
                <w:sz w:val="24"/>
                <w:szCs w:val="24"/>
              </w:rPr>
              <w:t>单位</w:t>
            </w:r>
          </w:p>
        </w:tc>
        <w:tc>
          <w:tcPr>
            <w:tcW w:w="438" w:type="pct"/>
            <w:tcBorders>
              <w:top w:val="single" w:color="auto" w:sz="4" w:space="0"/>
              <w:left w:val="single" w:color="auto" w:sz="4" w:space="0"/>
              <w:bottom w:val="single" w:color="auto" w:sz="4" w:space="0"/>
              <w:right w:val="single" w:color="auto" w:sz="4" w:space="0"/>
            </w:tcBorders>
            <w:vAlign w:val="center"/>
          </w:tcPr>
          <w:p w14:paraId="65440E3F">
            <w:pPr>
              <w:widowControl/>
              <w:jc w:val="center"/>
              <w:rPr>
                <w:rFonts w:cs="宋体"/>
                <w:kern w:val="0"/>
                <w:sz w:val="24"/>
              </w:rPr>
            </w:pPr>
            <w:r>
              <w:rPr>
                <w:rFonts w:hint="eastAsia" w:cs="宋体"/>
                <w:kern w:val="0"/>
                <w:sz w:val="24"/>
              </w:rPr>
              <w:t>数量</w:t>
            </w:r>
          </w:p>
        </w:tc>
        <w:tc>
          <w:tcPr>
            <w:tcW w:w="3033" w:type="pct"/>
            <w:tcBorders>
              <w:top w:val="single" w:color="auto" w:sz="4" w:space="0"/>
              <w:left w:val="single" w:color="auto" w:sz="4" w:space="0"/>
              <w:bottom w:val="single" w:color="auto" w:sz="4" w:space="0"/>
              <w:right w:val="single" w:color="auto" w:sz="4" w:space="0"/>
            </w:tcBorders>
            <w:vAlign w:val="center"/>
          </w:tcPr>
          <w:p w14:paraId="314E5720">
            <w:pPr>
              <w:widowControl/>
              <w:jc w:val="center"/>
              <w:rPr>
                <w:rFonts w:cs="宋体"/>
                <w:kern w:val="0"/>
                <w:sz w:val="24"/>
                <w:szCs w:val="24"/>
              </w:rPr>
            </w:pPr>
            <w:r>
              <w:rPr>
                <w:rFonts w:hint="eastAsia" w:cs="宋体"/>
                <w:kern w:val="0"/>
                <w:sz w:val="24"/>
              </w:rPr>
              <w:t>需求条款</w:t>
            </w:r>
          </w:p>
        </w:tc>
      </w:tr>
      <w:tr w14:paraId="663C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1B8AA9E">
            <w:pPr>
              <w:snapToGrid w:val="0"/>
              <w:spacing w:line="360" w:lineRule="auto"/>
              <w:jc w:val="center"/>
              <w:rPr>
                <w:rFonts w:ascii="宋体" w:hAnsi="宋体" w:cs="宋体"/>
                <w:sz w:val="24"/>
                <w:szCs w:val="24"/>
              </w:rPr>
            </w:pPr>
            <w:r>
              <w:rPr>
                <w:rFonts w:hint="eastAsia" w:ascii="宋体" w:hAnsi="宋体" w:cs="宋体"/>
                <w:sz w:val="24"/>
                <w:szCs w:val="24"/>
              </w:rPr>
              <w:t>1</w:t>
            </w:r>
          </w:p>
        </w:tc>
        <w:tc>
          <w:tcPr>
            <w:tcW w:w="703" w:type="pct"/>
            <w:tcBorders>
              <w:top w:val="single" w:color="auto" w:sz="4" w:space="0"/>
              <w:left w:val="single" w:color="auto" w:sz="4" w:space="0"/>
              <w:bottom w:val="single" w:color="auto" w:sz="4" w:space="0"/>
              <w:right w:val="single" w:color="auto" w:sz="4" w:space="0"/>
            </w:tcBorders>
            <w:vAlign w:val="center"/>
          </w:tcPr>
          <w:p w14:paraId="54DE8F1B">
            <w:pPr>
              <w:jc w:val="center"/>
              <w:rPr>
                <w:rFonts w:ascii="Times New Roman" w:hAnsi="Times New Roman" w:eastAsia="宋体" w:cs="宋体"/>
                <w:color w:val="000000"/>
                <w:kern w:val="0"/>
                <w:sz w:val="24"/>
                <w:szCs w:val="21"/>
              </w:rPr>
            </w:pPr>
            <w:r>
              <w:rPr>
                <w:rFonts w:hint="eastAsia" w:ascii="Times New Roman" w:hAnsi="Times New Roman" w:eastAsia="宋体" w:cs="宋体"/>
                <w:color w:val="000000"/>
                <w:kern w:val="0"/>
                <w:sz w:val="24"/>
                <w:szCs w:val="21"/>
                <w:lang w:val="en-US" w:eastAsia="zh-CN"/>
              </w:rPr>
              <w:t>呼吸机（1）</w:t>
            </w:r>
          </w:p>
        </w:tc>
        <w:tc>
          <w:tcPr>
            <w:tcW w:w="389" w:type="pct"/>
            <w:tcBorders>
              <w:top w:val="single" w:color="auto" w:sz="4" w:space="0"/>
              <w:left w:val="single" w:color="auto" w:sz="4" w:space="0"/>
              <w:bottom w:val="single" w:color="auto" w:sz="4" w:space="0"/>
              <w:right w:val="single" w:color="auto" w:sz="4" w:space="0"/>
            </w:tcBorders>
            <w:vAlign w:val="center"/>
          </w:tcPr>
          <w:p w14:paraId="1FB76EBC">
            <w:pPr>
              <w:jc w:val="center"/>
              <w:rPr>
                <w:rFonts w:cs="宋体"/>
                <w:color w:val="000000"/>
                <w:kern w:val="0"/>
                <w:sz w:val="24"/>
                <w:szCs w:val="21"/>
              </w:rPr>
            </w:pPr>
            <w:r>
              <w:rPr>
                <w:rFonts w:cs="宋体"/>
                <w:color w:val="000000"/>
                <w:kern w:val="0"/>
                <w:sz w:val="24"/>
                <w:szCs w:val="21"/>
              </w:rPr>
              <w:t>台</w:t>
            </w:r>
          </w:p>
        </w:tc>
        <w:tc>
          <w:tcPr>
            <w:tcW w:w="438" w:type="pct"/>
            <w:tcBorders>
              <w:top w:val="single" w:color="auto" w:sz="4" w:space="0"/>
              <w:left w:val="single" w:color="auto" w:sz="4" w:space="0"/>
              <w:bottom w:val="single" w:color="auto" w:sz="4" w:space="0"/>
              <w:right w:val="single" w:color="auto" w:sz="4" w:space="0"/>
            </w:tcBorders>
            <w:vAlign w:val="center"/>
          </w:tcPr>
          <w:p w14:paraId="6502AD76">
            <w:pPr>
              <w:jc w:val="center"/>
              <w:rPr>
                <w:rFonts w:hint="eastAsia" w:eastAsia="宋体"/>
                <w:sz w:val="24"/>
                <w:szCs w:val="21"/>
                <w:lang w:eastAsia="zh-CN"/>
              </w:rPr>
            </w:pPr>
            <w:r>
              <w:rPr>
                <w:rFonts w:hint="eastAsia"/>
                <w:sz w:val="24"/>
                <w:szCs w:val="21"/>
                <w:lang w:val="en-US" w:eastAsia="zh-CN"/>
              </w:rPr>
              <w:t>2</w:t>
            </w:r>
          </w:p>
        </w:tc>
        <w:tc>
          <w:tcPr>
            <w:tcW w:w="3033" w:type="pct"/>
            <w:tcBorders>
              <w:top w:val="single" w:color="auto" w:sz="4" w:space="0"/>
              <w:left w:val="single" w:color="auto" w:sz="4" w:space="0"/>
              <w:bottom w:val="single" w:color="auto" w:sz="4" w:space="0"/>
              <w:right w:val="single" w:color="auto" w:sz="4" w:space="0"/>
            </w:tcBorders>
          </w:tcPr>
          <w:p w14:paraId="1E6AA9FF">
            <w:pPr>
              <w:snapToGrid w:val="0"/>
              <w:spacing w:line="300" w:lineRule="exact"/>
              <w:jc w:val="left"/>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天津市宝坻区中医医院</w:t>
            </w:r>
          </w:p>
          <w:p w14:paraId="22F6C4EB">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rPr>
              <w:t>适用于成人、小儿患者通气辅助及呼吸支持。</w:t>
            </w:r>
          </w:p>
          <w:p w14:paraId="6FED2DC1">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rPr>
              <w:t>整机为气动电控设计（空、氧双气源），支持中央供气和空气压缩机双方式驱动工作，具备实时气源压力电子显示。</w:t>
            </w:r>
          </w:p>
          <w:p w14:paraId="790142C4">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★3.显示屏≥18英寸全平电容触摸屏，便于操作和屏幕清洁。</w:t>
            </w:r>
          </w:p>
          <w:p w14:paraId="406B4A9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4.</w:t>
            </w:r>
            <w:r>
              <w:rPr>
                <w:rFonts w:hint="eastAsia" w:ascii="宋体" w:hAnsi="宋体" w:eastAsia="宋体" w:cs="宋体"/>
                <w:color w:val="auto"/>
                <w:sz w:val="24"/>
                <w:szCs w:val="24"/>
                <w:highlight w:val="none"/>
              </w:rPr>
              <w:t>具备动态肺视图，能实时图形化显示患者气道阻抗、肺顺应性、通气量等力学参数变化，</w:t>
            </w:r>
            <w:bookmarkStart w:id="0" w:name="_Hlk116367081"/>
            <w:r>
              <w:rPr>
                <w:rFonts w:hint="eastAsia" w:ascii="宋体" w:hAnsi="宋体" w:eastAsia="宋体" w:cs="宋体"/>
                <w:color w:val="auto"/>
                <w:sz w:val="24"/>
                <w:szCs w:val="24"/>
                <w:highlight w:val="none"/>
              </w:rPr>
              <w:t>动态肺视图包含肺损伤、肺塌陷</w:t>
            </w:r>
            <w:bookmarkEnd w:id="0"/>
            <w:bookmarkStart w:id="1" w:name="_Hlk144805849"/>
            <w:r>
              <w:rPr>
                <w:rFonts w:hint="eastAsia" w:ascii="宋体" w:hAnsi="宋体" w:eastAsia="宋体" w:cs="宋体"/>
                <w:color w:val="auto"/>
                <w:sz w:val="24"/>
                <w:szCs w:val="24"/>
                <w:highlight w:val="none"/>
              </w:rPr>
              <w:t>对应参数柱状图风险提示。</w:t>
            </w:r>
            <w:bookmarkEnd w:id="1"/>
          </w:p>
          <w:p w14:paraId="6F18962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5.</w:t>
            </w:r>
            <w:r>
              <w:rPr>
                <w:rFonts w:hint="eastAsia" w:ascii="宋体" w:hAnsi="宋体" w:eastAsia="宋体" w:cs="宋体"/>
                <w:color w:val="auto"/>
                <w:sz w:val="24"/>
                <w:szCs w:val="24"/>
                <w:highlight w:val="none"/>
              </w:rPr>
              <w:t>支持显示历史监测参数≥190小时的趋势图，≥15000条报警和操作日志记录。</w:t>
            </w:r>
          </w:p>
          <w:p w14:paraId="1D44810D">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6.</w:t>
            </w:r>
            <w:r>
              <w:rPr>
                <w:rFonts w:hint="eastAsia" w:ascii="宋体" w:hAnsi="宋体" w:eastAsia="宋体" w:cs="宋体"/>
                <w:color w:val="auto"/>
                <w:sz w:val="24"/>
                <w:szCs w:val="24"/>
                <w:highlight w:val="none"/>
              </w:rPr>
              <w:t>具有屏幕视频录制功能，可存储≥10段视频，具备截屏U盘导出功能，可缓存≥50张屏幕文件。</w:t>
            </w:r>
          </w:p>
          <w:p w14:paraId="2BD74AE8">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7.</w:t>
            </w:r>
            <w:r>
              <w:rPr>
                <w:rFonts w:hint="eastAsia" w:ascii="宋体" w:hAnsi="宋体" w:eastAsia="宋体" w:cs="宋体"/>
                <w:color w:val="auto"/>
                <w:sz w:val="24"/>
                <w:szCs w:val="24"/>
                <w:highlight w:val="none"/>
              </w:rPr>
              <w:t>具有实时气源压力电子显示。</w:t>
            </w:r>
          </w:p>
          <w:p w14:paraId="30F9F88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8.</w:t>
            </w:r>
            <w:r>
              <w:rPr>
                <w:rFonts w:hint="eastAsia" w:ascii="宋体" w:hAnsi="宋体" w:eastAsia="宋体" w:cs="宋体"/>
                <w:color w:val="auto"/>
                <w:sz w:val="24"/>
                <w:szCs w:val="24"/>
                <w:highlight w:val="none"/>
              </w:rPr>
              <w:t>具有无消耗氧电池，易维护。</w:t>
            </w:r>
          </w:p>
          <w:p w14:paraId="5CB4D67D">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9.具备一体化模块插件箱或多功能拓展接口，便于呼吸机功能升级和扩展，支持升级旁流CO</w:t>
            </w:r>
            <w:r>
              <w:rPr>
                <w:rFonts w:hint="eastAsia" w:ascii="宋体" w:hAnsi="宋体" w:eastAsia="宋体" w:cs="宋体"/>
                <w:color w:val="auto"/>
                <w:kern w:val="2"/>
                <w:sz w:val="24"/>
                <w:szCs w:val="24"/>
                <w:vertAlign w:val="subscript"/>
                <w:lang w:val="en-US" w:eastAsia="zh-CN" w:bidi="ar-SA"/>
              </w:rPr>
              <w:t>2</w:t>
            </w:r>
            <w:r>
              <w:rPr>
                <w:rFonts w:hint="eastAsia" w:ascii="宋体" w:hAnsi="宋体" w:eastAsia="宋体" w:cs="宋体"/>
                <w:color w:val="auto"/>
                <w:kern w:val="2"/>
                <w:sz w:val="24"/>
                <w:szCs w:val="24"/>
                <w:lang w:val="en-US" w:eastAsia="zh-CN" w:bidi="ar-SA"/>
              </w:rPr>
              <w:t>模块和SpO</w:t>
            </w:r>
            <w:r>
              <w:rPr>
                <w:rFonts w:hint="eastAsia" w:ascii="宋体" w:hAnsi="宋体" w:eastAsia="宋体" w:cs="宋体"/>
                <w:color w:val="auto"/>
                <w:kern w:val="2"/>
                <w:sz w:val="24"/>
                <w:szCs w:val="24"/>
                <w:vertAlign w:val="subscript"/>
                <w:lang w:val="en-US" w:eastAsia="zh-CN" w:bidi="ar-SA"/>
              </w:rPr>
              <w:t>2</w:t>
            </w:r>
            <w:r>
              <w:rPr>
                <w:rFonts w:hint="eastAsia" w:ascii="宋体" w:hAnsi="宋体" w:eastAsia="宋体" w:cs="宋体"/>
                <w:color w:val="auto"/>
                <w:kern w:val="2"/>
                <w:sz w:val="24"/>
                <w:szCs w:val="24"/>
                <w:lang w:val="en-US" w:eastAsia="zh-CN" w:bidi="ar-SA"/>
              </w:rPr>
              <w:t>模块监测，即插即用。</w:t>
            </w:r>
          </w:p>
          <w:p w14:paraId="6CD6E1BE">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10.配备</w:t>
            </w:r>
            <w:r>
              <w:rPr>
                <w:rFonts w:hint="eastAsia" w:ascii="宋体" w:hAnsi="宋体" w:eastAsia="宋体" w:cs="宋体"/>
                <w:color w:val="auto"/>
                <w:sz w:val="24"/>
                <w:szCs w:val="24"/>
                <w:highlight w:val="none"/>
              </w:rPr>
              <w:t>≥160分钟内置后备可充电锂电池，具备顺磁氧监测功能。</w:t>
            </w:r>
          </w:p>
          <w:p w14:paraId="0A9F322F">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2"/>
                <w:sz w:val="24"/>
                <w:szCs w:val="24"/>
                <w:lang w:val="en-US" w:eastAsia="zh-CN" w:bidi="ar-SA"/>
              </w:rPr>
              <w:t>11.</w:t>
            </w:r>
            <w:r>
              <w:rPr>
                <w:rFonts w:hint="eastAsia" w:ascii="宋体" w:hAnsi="宋体" w:eastAsia="宋体" w:cs="宋体"/>
                <w:color w:val="auto"/>
                <w:sz w:val="24"/>
                <w:szCs w:val="24"/>
                <w:highlight w:val="none"/>
              </w:rPr>
              <w:t>吸气阀、呼气阀组件可拆卸，并能高温高压蒸汽消毒（134℃）。</w:t>
            </w:r>
            <w:bookmarkStart w:id="2" w:name="_Hlk172727167"/>
          </w:p>
          <w:bookmarkEnd w:id="2"/>
          <w:p w14:paraId="1854E7CE">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bookmarkStart w:id="3" w:name="_Hlk172727178"/>
            <w:r>
              <w:rPr>
                <w:rFonts w:hint="eastAsia" w:ascii="宋体" w:hAnsi="宋体" w:eastAsia="宋体" w:cs="宋体"/>
                <w:color w:val="auto"/>
                <w:kern w:val="2"/>
                <w:sz w:val="24"/>
                <w:szCs w:val="24"/>
                <w:lang w:val="en-US" w:eastAsia="zh-CN" w:bidi="ar-SA"/>
              </w:rPr>
              <w:t>12.</w:t>
            </w:r>
            <w:r>
              <w:rPr>
                <w:rFonts w:hint="eastAsia" w:ascii="宋体" w:hAnsi="宋体" w:eastAsia="宋体" w:cs="宋体"/>
                <w:color w:val="auto"/>
                <w:sz w:val="24"/>
                <w:szCs w:val="24"/>
                <w:highlight w:val="none"/>
              </w:rPr>
              <w:t>具备带电容触摸屏的湿化器，便于观察和操作，湿化器既支持非加热管路又支持加热管路，且能在两种模式直接自动识别和切换，湿化器支持有创，无创和高流量3种通气模式，湿化器配置蓝牙功能。</w:t>
            </w:r>
            <w:bookmarkEnd w:id="3"/>
          </w:p>
          <w:p w14:paraId="0C4D7C31">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13.</w:t>
            </w:r>
            <w:r>
              <w:rPr>
                <w:rFonts w:hint="eastAsia" w:ascii="宋体" w:hAnsi="宋体" w:eastAsia="宋体" w:cs="宋体"/>
                <w:color w:val="auto"/>
                <w:sz w:val="24"/>
                <w:szCs w:val="24"/>
                <w:highlight w:val="none"/>
              </w:rPr>
              <w:t>配备通气模式：</w:t>
            </w:r>
            <w:r>
              <w:rPr>
                <w:rFonts w:hint="eastAsia" w:ascii="宋体" w:hAnsi="宋体" w:eastAsia="宋体" w:cs="宋体"/>
                <w:sz w:val="24"/>
                <w:szCs w:val="24"/>
                <w:lang w:val="en-US" w:eastAsia="zh-CN"/>
              </w:rPr>
              <w:t>容量控制通气模式</w:t>
            </w:r>
            <w:r>
              <w:rPr>
                <w:rFonts w:hint="eastAsia" w:ascii="宋体" w:hAnsi="宋体" w:eastAsia="宋体" w:cs="宋体"/>
                <w:color w:val="auto"/>
                <w:sz w:val="24"/>
                <w:szCs w:val="24"/>
                <w:highlight w:val="none"/>
              </w:rPr>
              <w:t>、</w:t>
            </w:r>
            <w:r>
              <w:rPr>
                <w:rFonts w:hint="eastAsia" w:ascii="宋体" w:hAnsi="宋体" w:eastAsia="宋体" w:cs="宋体"/>
                <w:sz w:val="24"/>
                <w:szCs w:val="24"/>
                <w:lang w:val="en-US" w:eastAsia="zh-CN"/>
              </w:rPr>
              <w:t>压力控制通气模式</w:t>
            </w:r>
            <w:r>
              <w:rPr>
                <w:rFonts w:hint="eastAsia" w:ascii="宋体" w:hAnsi="宋体" w:eastAsia="宋体" w:cs="宋体"/>
                <w:color w:val="auto"/>
                <w:sz w:val="24"/>
                <w:szCs w:val="24"/>
                <w:highlight w:val="none"/>
              </w:rPr>
              <w:t>、</w:t>
            </w:r>
            <w:r>
              <w:rPr>
                <w:rFonts w:hint="eastAsia" w:ascii="宋体" w:hAnsi="宋体" w:eastAsia="宋体" w:cs="宋体"/>
                <w:sz w:val="24"/>
                <w:szCs w:val="24"/>
                <w:lang w:val="en-US" w:eastAsia="zh-CN"/>
              </w:rPr>
              <w:t>容量同步间歇指令通气模式</w:t>
            </w:r>
            <w:r>
              <w:rPr>
                <w:rFonts w:hint="eastAsia" w:ascii="宋体" w:hAnsi="宋体" w:eastAsia="宋体" w:cs="宋体"/>
                <w:color w:val="auto"/>
                <w:sz w:val="24"/>
                <w:szCs w:val="24"/>
                <w:highlight w:val="none"/>
              </w:rPr>
              <w:t>、</w:t>
            </w:r>
            <w:r>
              <w:rPr>
                <w:rFonts w:hint="eastAsia" w:ascii="宋体" w:hAnsi="宋体" w:eastAsia="宋体" w:cs="宋体"/>
                <w:sz w:val="24"/>
                <w:szCs w:val="24"/>
                <w:lang w:val="en-US" w:eastAsia="zh-CN"/>
              </w:rPr>
              <w:t>压力同步间歇指令通气模式</w:t>
            </w:r>
            <w:r>
              <w:rPr>
                <w:rFonts w:hint="eastAsia" w:ascii="宋体" w:hAnsi="宋体" w:eastAsia="宋体" w:cs="宋体"/>
                <w:color w:val="auto"/>
                <w:sz w:val="24"/>
                <w:szCs w:val="24"/>
                <w:highlight w:val="none"/>
              </w:rPr>
              <w:t>、</w:t>
            </w:r>
            <w:r>
              <w:rPr>
                <w:rFonts w:hint="eastAsia" w:ascii="宋体" w:hAnsi="宋体" w:eastAsia="宋体" w:cs="宋体"/>
                <w:sz w:val="24"/>
                <w:szCs w:val="24"/>
                <w:lang w:val="en-US" w:eastAsia="zh-CN"/>
              </w:rPr>
              <w:t>持续气道正压通气模式/压力支持通气模式</w:t>
            </w:r>
            <w:r>
              <w:rPr>
                <w:rFonts w:hint="eastAsia" w:ascii="宋体" w:hAnsi="宋体" w:eastAsia="宋体" w:cs="宋体"/>
                <w:color w:val="auto"/>
                <w:sz w:val="24"/>
                <w:szCs w:val="24"/>
                <w:highlight w:val="none"/>
              </w:rPr>
              <w:t>、窒息通气模式，自适应分钟通气，且有≥3个调节表盘直观进行通气提示。</w:t>
            </w:r>
          </w:p>
          <w:p w14:paraId="13A219AD">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14.</w:t>
            </w:r>
            <w:bookmarkStart w:id="4" w:name="_Hlk144802251"/>
            <w:r>
              <w:rPr>
                <w:rFonts w:hint="eastAsia" w:ascii="宋体" w:hAnsi="宋体" w:eastAsia="宋体" w:cs="宋体"/>
                <w:color w:val="auto"/>
                <w:sz w:val="24"/>
                <w:szCs w:val="24"/>
                <w:highlight w:val="none"/>
              </w:rPr>
              <w:t>高级模式：压力调节容量控制通气、压力调节容量控制-同步间歇指令通气模式；气道压力释放通气、双水平气道正压通气模式；容量支持通气；智能通气模式（自适应分钟通气，自适应支持通气等），心肺复苏通气模式。</w:t>
            </w:r>
          </w:p>
          <w:bookmarkEnd w:id="4"/>
          <w:p w14:paraId="4CBFCC53">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bookmarkStart w:id="5" w:name="_Hlk144805433"/>
            <w:r>
              <w:rPr>
                <w:rFonts w:hint="eastAsia" w:ascii="宋体" w:hAnsi="宋体" w:eastAsia="宋体" w:cs="宋体"/>
                <w:color w:val="auto"/>
                <w:kern w:val="2"/>
                <w:sz w:val="24"/>
                <w:szCs w:val="24"/>
                <w:lang w:val="en-US" w:eastAsia="zh-CN" w:bidi="ar-SA"/>
              </w:rPr>
              <w:t>15.</w:t>
            </w:r>
            <w:r>
              <w:rPr>
                <w:rFonts w:hint="eastAsia" w:ascii="宋体" w:hAnsi="宋体" w:eastAsia="宋体" w:cs="宋体"/>
                <w:color w:val="auto"/>
                <w:sz w:val="24"/>
                <w:szCs w:val="24"/>
                <w:highlight w:val="none"/>
              </w:rPr>
              <w:t>支持升级心肺复苏通气模式，并具有电子吸气阻力阀开关，在心肺复苏的呼气阶段排出患者肺内气体，阻止气流进入病人肺部，来增加胸腔负压。</w:t>
            </w:r>
          </w:p>
          <w:bookmarkEnd w:id="5"/>
          <w:p w14:paraId="750E7B1E">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16.</w:t>
            </w:r>
            <w:r>
              <w:rPr>
                <w:rFonts w:hint="eastAsia" w:ascii="宋体" w:hAnsi="宋体" w:eastAsia="宋体" w:cs="宋体"/>
                <w:color w:val="auto"/>
                <w:sz w:val="24"/>
                <w:szCs w:val="24"/>
                <w:highlight w:val="none"/>
              </w:rPr>
              <w:t>具备无创通气模式和氧疗模式，最大氧疗流速≥80L/min。</w:t>
            </w:r>
          </w:p>
          <w:p w14:paraId="47962E7A">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bookmarkStart w:id="6" w:name="_Hlk144805541"/>
            <w:r>
              <w:rPr>
                <w:rFonts w:hint="eastAsia" w:ascii="宋体" w:hAnsi="宋体" w:eastAsia="宋体" w:cs="宋体"/>
                <w:color w:val="auto"/>
                <w:kern w:val="2"/>
                <w:sz w:val="24"/>
                <w:szCs w:val="24"/>
                <w:lang w:val="en-US" w:eastAsia="zh-CN" w:bidi="ar-SA"/>
              </w:rPr>
              <w:t>17.具备呼吸同步技术，自动调节吸气、呼吸触发灵敏度和压力上升时间。</w:t>
            </w:r>
          </w:p>
          <w:p w14:paraId="6781CC78">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18.</w:t>
            </w:r>
            <w:r>
              <w:rPr>
                <w:rFonts w:hint="eastAsia" w:ascii="宋体" w:hAnsi="宋体" w:eastAsia="宋体" w:cs="宋体"/>
                <w:color w:val="auto"/>
                <w:sz w:val="24"/>
                <w:szCs w:val="24"/>
                <w:highlight w:val="none"/>
              </w:rPr>
              <w:t>设置参数</w:t>
            </w:r>
          </w:p>
          <w:p w14:paraId="798E02BD">
            <w:pPr>
              <w:pStyle w:val="17"/>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1.潮气量：20ml—4000ml</w:t>
            </w:r>
          </w:p>
          <w:p w14:paraId="580C031F">
            <w:pPr>
              <w:pStyle w:val="17"/>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2.呼吸频率：1—100/min</w:t>
            </w:r>
          </w:p>
          <w:p w14:paraId="5FE09CD8">
            <w:pPr>
              <w:pStyle w:val="17"/>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3.吸呼比：4:1—1:10</w:t>
            </w:r>
          </w:p>
          <w:p w14:paraId="5840FFB1">
            <w:pPr>
              <w:pStyle w:val="17"/>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4.呼气触发灵敏度：Auto, 1—85%</w:t>
            </w:r>
          </w:p>
          <w:bookmarkEnd w:id="6"/>
          <w:p w14:paraId="46EDE97A">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19.</w:t>
            </w:r>
            <w:r>
              <w:rPr>
                <w:rFonts w:hint="eastAsia" w:ascii="宋体" w:hAnsi="宋体" w:eastAsia="宋体" w:cs="宋体"/>
                <w:color w:val="auto"/>
                <w:sz w:val="24"/>
                <w:szCs w:val="24"/>
                <w:highlight w:val="none"/>
              </w:rPr>
              <w:t>具有自动插管阻力补偿功能、静态P-V环图（或P-V工具）和肺复张工具。</w:t>
            </w:r>
          </w:p>
          <w:p w14:paraId="3022D373">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2"/>
                <w:sz w:val="24"/>
                <w:szCs w:val="24"/>
                <w:lang w:val="en-US" w:eastAsia="zh-CN" w:bidi="ar-SA"/>
              </w:rPr>
              <w:t>20.</w:t>
            </w:r>
            <w:r>
              <w:rPr>
                <w:rFonts w:hint="eastAsia" w:ascii="宋体" w:hAnsi="宋体" w:eastAsia="宋体" w:cs="宋体"/>
                <w:color w:val="auto"/>
                <w:sz w:val="24"/>
                <w:szCs w:val="24"/>
                <w:highlight w:val="none"/>
              </w:rPr>
              <w:t>具有脱机辅助工具，一键启动SBT（自主呼吸试验），规范脱机筛选流程。</w:t>
            </w:r>
          </w:p>
          <w:p w14:paraId="4316AC5B">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21.</w:t>
            </w:r>
            <w:r>
              <w:rPr>
                <w:rFonts w:hint="eastAsia" w:ascii="宋体" w:hAnsi="宋体" w:eastAsia="宋体" w:cs="宋体"/>
                <w:color w:val="auto"/>
                <w:sz w:val="24"/>
                <w:szCs w:val="24"/>
                <w:highlight w:val="none"/>
              </w:rPr>
              <w:t>具备双通道辅助压监测，实时监测食道压和胃内压变化趋势。</w:t>
            </w:r>
          </w:p>
          <w:p w14:paraId="6D87B676">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22.</w:t>
            </w:r>
            <w:r>
              <w:rPr>
                <w:rFonts w:hint="eastAsia" w:ascii="宋体" w:hAnsi="宋体" w:eastAsia="宋体" w:cs="宋体"/>
                <w:color w:val="auto"/>
                <w:sz w:val="24"/>
                <w:szCs w:val="24"/>
                <w:highlight w:val="none"/>
              </w:rPr>
              <w:t>具备辅助压置管工具，实时提示食道压气囊合适位置，一键阻塞实验确认气囊位置，</w:t>
            </w:r>
          </w:p>
          <w:p w14:paraId="57DF072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23.</w:t>
            </w:r>
            <w:r>
              <w:rPr>
                <w:rFonts w:hint="eastAsia" w:ascii="宋体" w:hAnsi="宋体" w:eastAsia="宋体" w:cs="宋体"/>
                <w:color w:val="auto"/>
                <w:sz w:val="24"/>
                <w:szCs w:val="24"/>
                <w:highlight w:val="none"/>
              </w:rPr>
              <w:t>具备食道压滤波技术和食道压基线校准功能。</w:t>
            </w:r>
          </w:p>
          <w:p w14:paraId="222188A8">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24.</w:t>
            </w:r>
            <w:r>
              <w:rPr>
                <w:rFonts w:hint="eastAsia" w:ascii="宋体" w:hAnsi="宋体" w:eastAsia="宋体" w:cs="宋体"/>
                <w:color w:val="auto"/>
                <w:sz w:val="24"/>
                <w:szCs w:val="24"/>
                <w:highlight w:val="none"/>
              </w:rPr>
              <w:t>实时提供胸壁顺应性和肺顺应性监测参数，实时提供吸气末跨肺压、呼气末跨肺压、跨肺驱动压、吸气末食道压、呼气末食道压压、食道压摆动值、食道压压力时间乘积、食道压分钟压力时间乘积。</w:t>
            </w:r>
          </w:p>
          <w:p w14:paraId="7B845EAF">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2"/>
                <w:sz w:val="24"/>
                <w:szCs w:val="24"/>
                <w:lang w:val="en-US" w:eastAsia="zh-CN" w:bidi="ar-SA"/>
              </w:rPr>
              <w:t>25.</w:t>
            </w:r>
            <w:r>
              <w:rPr>
                <w:rFonts w:hint="eastAsia" w:ascii="宋体" w:hAnsi="宋体" w:eastAsia="宋体" w:cs="宋体"/>
                <w:color w:val="auto"/>
                <w:sz w:val="24"/>
                <w:szCs w:val="24"/>
                <w:highlight w:val="none"/>
              </w:rPr>
              <w:t>具备人机不同步事件自动识别功能或者膈肌电或者能量代谢监测</w:t>
            </w:r>
            <w:bookmarkStart w:id="7" w:name="_Hlk173339255"/>
            <w:r>
              <w:rPr>
                <w:rFonts w:hint="eastAsia" w:ascii="宋体" w:hAnsi="宋体" w:eastAsia="宋体" w:cs="宋体"/>
                <w:color w:val="auto"/>
                <w:sz w:val="24"/>
                <w:szCs w:val="24"/>
                <w:highlight w:val="none"/>
              </w:rPr>
              <w:t>（非计算器）</w:t>
            </w:r>
            <w:bookmarkEnd w:id="7"/>
            <w:r>
              <w:rPr>
                <w:rFonts w:hint="eastAsia" w:ascii="宋体" w:hAnsi="宋体" w:eastAsia="宋体" w:cs="宋体"/>
                <w:color w:val="auto"/>
                <w:sz w:val="24"/>
                <w:szCs w:val="24"/>
                <w:highlight w:val="none"/>
              </w:rPr>
              <w:t>。</w:t>
            </w:r>
          </w:p>
          <w:p w14:paraId="7A86CAC0">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26.</w:t>
            </w:r>
            <w:r>
              <w:rPr>
                <w:rFonts w:hint="eastAsia" w:ascii="宋体" w:hAnsi="宋体" w:eastAsia="宋体" w:cs="宋体"/>
                <w:color w:val="auto"/>
                <w:sz w:val="24"/>
                <w:szCs w:val="24"/>
                <w:highlight w:val="none"/>
              </w:rPr>
              <w:t>人机不同步事件自动识别可以实时自动识别并标注无效触发、双触发、反向触发、误触发和流速饥渴中的至少3种。</w:t>
            </w:r>
          </w:p>
          <w:p w14:paraId="28D24FA7">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27.</w:t>
            </w:r>
            <w:r>
              <w:rPr>
                <w:rFonts w:hint="eastAsia" w:ascii="宋体" w:hAnsi="宋体" w:eastAsia="宋体" w:cs="宋体"/>
                <w:color w:val="auto"/>
                <w:sz w:val="24"/>
                <w:szCs w:val="24"/>
                <w:highlight w:val="none"/>
              </w:rPr>
              <w:t>具有人机不同步事件统计看板，显示最近各种人机不同步事件的发生率。</w:t>
            </w:r>
          </w:p>
          <w:p w14:paraId="20314E9F">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28.</w:t>
            </w:r>
            <w:r>
              <w:rPr>
                <w:rFonts w:hint="eastAsia" w:ascii="宋体" w:hAnsi="宋体" w:eastAsia="宋体" w:cs="宋体"/>
                <w:color w:val="auto"/>
                <w:sz w:val="24"/>
                <w:szCs w:val="24"/>
                <w:highlight w:val="none"/>
              </w:rPr>
              <w:t>具有人机不同步事件分析指导，提示人机不同步事件的处理建议。</w:t>
            </w:r>
          </w:p>
          <w:p w14:paraId="7BBAE917">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29.</w:t>
            </w:r>
            <w:r>
              <w:rPr>
                <w:rFonts w:hint="eastAsia" w:ascii="宋体" w:hAnsi="宋体" w:eastAsia="宋体" w:cs="宋体"/>
                <w:color w:val="auto"/>
                <w:sz w:val="24"/>
                <w:szCs w:val="24"/>
              </w:rPr>
              <w:t>支持升级模块化集成EIT到呼吸机上或者与EIT单机数据互联，实现EIT图像和通气波形同屏实时显示。</w:t>
            </w:r>
          </w:p>
          <w:p w14:paraId="1EA1E4BC">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kern w:val="2"/>
                <w:sz w:val="24"/>
                <w:szCs w:val="24"/>
                <w:lang w:val="en-US" w:eastAsia="zh-CN" w:bidi="ar-SA"/>
              </w:rPr>
              <w:t>30.</w:t>
            </w:r>
            <w:r>
              <w:rPr>
                <w:rFonts w:hint="eastAsia" w:ascii="宋体" w:hAnsi="宋体" w:eastAsia="宋体" w:cs="宋体"/>
                <w:color w:val="auto"/>
                <w:sz w:val="24"/>
                <w:szCs w:val="24"/>
              </w:rPr>
              <w:t>具备自主呼吸努力Pmus监测功能或者FRC监测功能。</w:t>
            </w:r>
          </w:p>
          <w:p w14:paraId="43D0B1E6">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31.</w:t>
            </w:r>
            <w:r>
              <w:rPr>
                <w:rFonts w:hint="eastAsia" w:ascii="宋体" w:hAnsi="宋体" w:eastAsia="宋体" w:cs="宋体"/>
                <w:color w:val="auto"/>
                <w:sz w:val="24"/>
                <w:szCs w:val="24"/>
              </w:rPr>
              <w:t>具备内源性PEEP实时监测，无需呼气保持即可自动测量PEEPi。</w:t>
            </w:r>
          </w:p>
          <w:p w14:paraId="3845A7D6">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32.</w:t>
            </w:r>
            <w:r>
              <w:rPr>
                <w:rFonts w:hint="eastAsia" w:ascii="宋体" w:hAnsi="宋体" w:eastAsia="宋体" w:cs="宋体"/>
                <w:color w:val="auto"/>
                <w:sz w:val="24"/>
                <w:szCs w:val="24"/>
              </w:rPr>
              <w:t>气道压力监测：气道峰压、平台压、平均压、呼气末正压、驱动压等参数监测。</w:t>
            </w:r>
          </w:p>
          <w:p w14:paraId="156F0DBB">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33.</w:t>
            </w:r>
            <w:r>
              <w:rPr>
                <w:rFonts w:hint="eastAsia" w:ascii="宋体" w:hAnsi="宋体" w:eastAsia="宋体" w:cs="宋体"/>
                <w:color w:val="auto"/>
                <w:sz w:val="24"/>
                <w:szCs w:val="24"/>
              </w:rPr>
              <w:t>潮气量监测：吸入潮气量、呼出潮气量、自主呼吸潮气量、单位理想体重呼出潮气量。</w:t>
            </w:r>
          </w:p>
          <w:p w14:paraId="63448A11">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34.</w:t>
            </w:r>
            <w:r>
              <w:rPr>
                <w:rFonts w:hint="eastAsia" w:ascii="宋体" w:hAnsi="宋体" w:eastAsia="宋体" w:cs="宋体"/>
                <w:color w:val="auto"/>
                <w:sz w:val="24"/>
                <w:szCs w:val="24"/>
              </w:rPr>
              <w:t>支持升级连接气囊压力监控设备，实现机械通气中气囊压力精细管理。</w:t>
            </w:r>
          </w:p>
          <w:p w14:paraId="57719966">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35.</w:t>
            </w:r>
            <w:r>
              <w:rPr>
                <w:rFonts w:hint="eastAsia" w:ascii="宋体" w:hAnsi="宋体" w:eastAsia="宋体" w:cs="宋体"/>
                <w:color w:val="auto"/>
                <w:sz w:val="24"/>
                <w:szCs w:val="24"/>
              </w:rPr>
              <w:t>具备牵张指数和肺过度膨胀系数监测，辅助临床判断与决策。</w:t>
            </w:r>
          </w:p>
          <w:p w14:paraId="3C16B51F">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36.</w:t>
            </w:r>
            <w:r>
              <w:rPr>
                <w:rFonts w:hint="eastAsia" w:ascii="宋体" w:hAnsi="宋体" w:eastAsia="宋体" w:cs="宋体"/>
                <w:color w:val="auto"/>
                <w:sz w:val="24"/>
                <w:szCs w:val="24"/>
              </w:rPr>
              <w:t>具备机械能监测，监测范围0.00-100.00 J/min。</w:t>
            </w:r>
          </w:p>
          <w:p w14:paraId="0079FFB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37.</w:t>
            </w:r>
            <w:r>
              <w:rPr>
                <w:rFonts w:hint="eastAsia" w:ascii="宋体" w:hAnsi="宋体" w:eastAsia="宋体" w:cs="宋体"/>
                <w:color w:val="auto"/>
                <w:sz w:val="24"/>
                <w:szCs w:val="24"/>
              </w:rPr>
              <w:t>呼吸机支持远程控制。</w:t>
            </w:r>
          </w:p>
          <w:p w14:paraId="4E2F42A6">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38.</w:t>
            </w:r>
            <w:r>
              <w:rPr>
                <w:rFonts w:hint="eastAsia" w:ascii="宋体" w:hAnsi="宋体" w:eastAsia="宋体" w:cs="宋体"/>
                <w:color w:val="auto"/>
                <w:sz w:val="24"/>
                <w:szCs w:val="24"/>
              </w:rPr>
              <w:t>信息互连：同时支持有线和无线方式直接与监护仪和中央监护系统互联，把呼吸机的监测信息参数和波形实时显示到监护仪和中央监护系统上，满足科室信息化的需求，呼吸机可与监护仪以及输注泵通过无线方式融合显示在中央站界面。</w:t>
            </w:r>
          </w:p>
          <w:p w14:paraId="061CB2B9">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39.</w:t>
            </w:r>
            <w:r>
              <w:rPr>
                <w:rFonts w:hint="eastAsia" w:ascii="宋体" w:hAnsi="宋体" w:eastAsia="宋体" w:cs="宋体"/>
                <w:color w:val="auto"/>
                <w:sz w:val="24"/>
                <w:szCs w:val="24"/>
              </w:rPr>
              <w:t>配置要求：呼吸机主机一台，配套管路1套，电源线1根。呼吸机台车，机械臂，模拟肺，湿化器及其组件一套；重复性使用成人呼吸阀1套，能与医院信息系统对接，负责接口费。</w:t>
            </w:r>
          </w:p>
          <w:p w14:paraId="721BB748">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40.</w:t>
            </w:r>
            <w:r>
              <w:rPr>
                <w:rFonts w:hint="eastAsia" w:ascii="宋体" w:hAnsi="宋体" w:eastAsia="宋体" w:cs="宋体"/>
                <w:color w:val="auto"/>
                <w:sz w:val="24"/>
                <w:szCs w:val="24"/>
              </w:rPr>
              <w:t>设备使用年限≥10年（提供出厂铭牌或说明书）；</w:t>
            </w:r>
          </w:p>
          <w:p w14:paraId="445AB3FE">
            <w:pPr>
              <w:keepNext w:val="0"/>
              <w:keepLines w:val="0"/>
              <w:pageBreakBefore w:val="0"/>
              <w:widowControl w:val="0"/>
              <w:kinsoku/>
              <w:wordWrap/>
              <w:overflowPunct/>
              <w:topLinePunct w:val="0"/>
              <w:autoSpaceDE/>
              <w:autoSpaceDN/>
              <w:bidi w:val="0"/>
              <w:adjustRightInd/>
              <w:snapToGrid w:val="0"/>
              <w:spacing w:line="300" w:lineRule="exact"/>
              <w:ind w:left="0" w:firstLine="0"/>
              <w:jc w:val="left"/>
              <w:textAlignment w:val="auto"/>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.出厂铭牌标注的生产日期不得早于供货日期90日（提供承诺书）</w:t>
            </w:r>
          </w:p>
        </w:tc>
      </w:tr>
      <w:tr w14:paraId="65AE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3705E549">
            <w:pPr>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703" w:type="pct"/>
            <w:tcBorders>
              <w:top w:val="single" w:color="auto" w:sz="4" w:space="0"/>
              <w:left w:val="single" w:color="auto" w:sz="4" w:space="0"/>
              <w:bottom w:val="single" w:color="auto" w:sz="4" w:space="0"/>
              <w:right w:val="single" w:color="auto" w:sz="4" w:space="0"/>
            </w:tcBorders>
            <w:vAlign w:val="center"/>
          </w:tcPr>
          <w:p w14:paraId="657BE0DD">
            <w:pPr>
              <w:jc w:val="center"/>
              <w:rPr>
                <w:rFonts w:hint="eastAsia" w:ascii="Times New Roman" w:hAnsi="Times New Roman" w:eastAsia="宋体" w:cs="宋体"/>
                <w:color w:val="000000"/>
                <w:kern w:val="0"/>
                <w:sz w:val="24"/>
                <w:szCs w:val="21"/>
              </w:rPr>
            </w:pPr>
            <w:r>
              <w:rPr>
                <w:rFonts w:hint="eastAsia"/>
                <w:sz w:val="24"/>
              </w:rPr>
              <w:t>▲</w:t>
            </w:r>
            <w:r>
              <w:rPr>
                <w:rFonts w:hint="eastAsia" w:ascii="Times New Roman" w:hAnsi="Times New Roman" w:eastAsia="宋体" w:cs="宋体"/>
                <w:color w:val="000000"/>
                <w:kern w:val="0"/>
                <w:sz w:val="24"/>
                <w:szCs w:val="21"/>
                <w:lang w:val="en-US" w:eastAsia="zh-CN"/>
              </w:rPr>
              <w:t>呼吸机（2）</w:t>
            </w:r>
          </w:p>
        </w:tc>
        <w:tc>
          <w:tcPr>
            <w:tcW w:w="389" w:type="pct"/>
            <w:tcBorders>
              <w:top w:val="single" w:color="auto" w:sz="4" w:space="0"/>
              <w:left w:val="single" w:color="auto" w:sz="4" w:space="0"/>
              <w:bottom w:val="single" w:color="auto" w:sz="4" w:space="0"/>
              <w:right w:val="single" w:color="auto" w:sz="4" w:space="0"/>
            </w:tcBorders>
            <w:shd w:val="clear" w:color="auto" w:fill="auto"/>
            <w:vAlign w:val="center"/>
          </w:tcPr>
          <w:p w14:paraId="26AE8403">
            <w:pPr>
              <w:jc w:val="center"/>
              <w:rPr>
                <w:rFonts w:ascii="Times New Roman" w:hAnsi="Times New Roman" w:eastAsia="宋体" w:cs="宋体"/>
                <w:color w:val="000000"/>
                <w:kern w:val="0"/>
                <w:sz w:val="24"/>
                <w:szCs w:val="21"/>
                <w:lang w:val="en-US" w:eastAsia="zh-CN" w:bidi="ar-SA"/>
              </w:rPr>
            </w:pPr>
            <w:r>
              <w:rPr>
                <w:rFonts w:cs="宋体"/>
                <w:color w:val="000000"/>
                <w:kern w:val="0"/>
                <w:sz w:val="24"/>
                <w:szCs w:val="21"/>
              </w:rPr>
              <w:t>台</w:t>
            </w:r>
          </w:p>
        </w:tc>
        <w:tc>
          <w:tcPr>
            <w:tcW w:w="438" w:type="pct"/>
            <w:tcBorders>
              <w:top w:val="single" w:color="auto" w:sz="4" w:space="0"/>
              <w:left w:val="single" w:color="auto" w:sz="4" w:space="0"/>
              <w:bottom w:val="single" w:color="auto" w:sz="4" w:space="0"/>
              <w:right w:val="single" w:color="auto" w:sz="4" w:space="0"/>
            </w:tcBorders>
            <w:shd w:val="clear" w:color="auto" w:fill="auto"/>
            <w:vAlign w:val="center"/>
          </w:tcPr>
          <w:p w14:paraId="57E25D24">
            <w:pPr>
              <w:jc w:val="center"/>
              <w:rPr>
                <w:rFonts w:hint="eastAsia" w:ascii="Times New Roman" w:hAnsi="Times New Roman" w:eastAsia="宋体" w:cs="Times New Roman"/>
                <w:kern w:val="2"/>
                <w:sz w:val="24"/>
                <w:szCs w:val="21"/>
                <w:lang w:val="en-US" w:eastAsia="zh-CN" w:bidi="ar-SA"/>
              </w:rPr>
            </w:pPr>
            <w:r>
              <w:rPr>
                <w:rFonts w:hint="eastAsia"/>
                <w:sz w:val="24"/>
                <w:szCs w:val="21"/>
              </w:rPr>
              <w:t>1</w:t>
            </w:r>
            <w:r>
              <w:rPr>
                <w:rFonts w:hint="eastAsia"/>
                <w:sz w:val="24"/>
                <w:szCs w:val="21"/>
                <w:lang w:val="en-US" w:eastAsia="zh-CN"/>
              </w:rPr>
              <w:t>2</w:t>
            </w:r>
          </w:p>
        </w:tc>
        <w:tc>
          <w:tcPr>
            <w:tcW w:w="3033" w:type="pct"/>
            <w:tcBorders>
              <w:top w:val="single" w:color="auto" w:sz="4" w:space="0"/>
              <w:left w:val="single" w:color="auto" w:sz="4" w:space="0"/>
              <w:bottom w:val="single" w:color="auto" w:sz="4" w:space="0"/>
              <w:right w:val="single" w:color="auto" w:sz="4" w:space="0"/>
            </w:tcBorders>
          </w:tcPr>
          <w:p w14:paraId="68DF84C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★一、产品用途：具备高流速氧疗、无创通气、有创通气功能，适用于成人、小儿和新生儿患者进行通气辅助及呼吸支持</w:t>
            </w:r>
            <w:r>
              <w:rPr>
                <w:rFonts w:hint="eastAsia" w:ascii="宋体" w:hAnsi="宋体" w:eastAsia="宋体" w:cs="宋体"/>
                <w:color w:val="auto"/>
                <w:sz w:val="24"/>
                <w:szCs w:val="24"/>
                <w:lang w:val="en-US" w:eastAsia="zh-CN"/>
              </w:rPr>
              <w:tab/>
            </w:r>
          </w:p>
          <w:p w14:paraId="5468DD1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二、技术参数</w:t>
            </w:r>
          </w:p>
          <w:p w14:paraId="7DFCEA6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1.整机要求</w:t>
            </w:r>
          </w:p>
          <w:p w14:paraId="1BC3C01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★1.1气动电控呼吸机，支持中央供气和空气压缩机双方式驱动，配备备用气源空气压缩机，实时气源压力电子显示，支持转运；</w:t>
            </w:r>
          </w:p>
          <w:p w14:paraId="5C11220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★1.2中文操作界面；</w:t>
            </w:r>
          </w:p>
          <w:p w14:paraId="35A0AD4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1.3触摸屏支持无菌手套操作，支持≥170度广视角查看；</w:t>
            </w:r>
          </w:p>
          <w:p w14:paraId="602FA71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1.4支持≥4道波形同屏显示；支持短趋势、动态肺图、波形、监测值同屏显示；可提供≥4种环图，支持呼吸环图、波形和监测参数同屏显示；</w:t>
            </w:r>
          </w:p>
          <w:p w14:paraId="76D3FC0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1.5具备图形化显示功能，能实时动态图形化显示患者气道阻力、肺顺应性、自主呼吸和分钟通气量等肺部力学参数；动态肺视图具备肺损伤、肺塌陷对应参数柱状图风险提示。</w:t>
            </w:r>
          </w:p>
          <w:p w14:paraId="23D386C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★1.6内置后备可充电锂电池，使用时间≥120分钟，可在屏幕上显示剩余电量；</w:t>
            </w:r>
          </w:p>
          <w:p w14:paraId="25ACEF7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1.7具备自检功能，可测试流量传感器、呼气阀和安全阀等部件；</w:t>
            </w:r>
          </w:p>
          <w:p w14:paraId="6EDB3BE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1.8一体化模块插件箱，支持升级；</w:t>
            </w:r>
          </w:p>
          <w:p w14:paraId="16E583D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1.8.1配备CO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color w:val="auto"/>
                <w:sz w:val="24"/>
                <w:szCs w:val="24"/>
                <w:lang w:val="en-US" w:eastAsia="zh-CN"/>
              </w:rPr>
              <w:t>监测，可监测二氧化碳分压-时间、容量-二氧化碳分压；</w:t>
            </w:r>
          </w:p>
          <w:p w14:paraId="61E4024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1.8.2配备SpO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color w:val="auto"/>
                <w:sz w:val="24"/>
                <w:szCs w:val="24"/>
                <w:lang w:val="en-US" w:eastAsia="zh-CN"/>
              </w:rPr>
              <w:t>监测，可监测SpO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color w:val="auto"/>
                <w:sz w:val="24"/>
                <w:szCs w:val="24"/>
                <w:lang w:val="en-US" w:eastAsia="zh-CN"/>
              </w:rPr>
              <w:t>、PR以及显示脉搏氧-时间波形；</w:t>
            </w:r>
          </w:p>
          <w:p w14:paraId="2E0C4EC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1.9吸气安全阀和呼气安全阀支持134℃高温高压蒸汽消毒；呼气阀可自动加热；</w:t>
            </w:r>
          </w:p>
          <w:p w14:paraId="7547AC6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1.10具备截屏U盘导出功能，可缓存≥50张屏幕文件；</w:t>
            </w:r>
          </w:p>
          <w:p w14:paraId="7670E5E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1.11支持升级主流CO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color w:val="auto"/>
                <w:sz w:val="24"/>
                <w:szCs w:val="24"/>
                <w:lang w:val="en-US" w:eastAsia="zh-CN"/>
              </w:rPr>
              <w:t>模块监测；</w:t>
            </w:r>
          </w:p>
          <w:p w14:paraId="6E8D06D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1.12本机自身可以提供≥160小时的趋势图、表分析；</w:t>
            </w:r>
          </w:p>
          <w:p w14:paraId="1BEF482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2.呼吸模式及功能</w:t>
            </w:r>
          </w:p>
          <w:p w14:paraId="04477D2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cyan"/>
                <w:lang w:val="en-US" w:eastAsia="zh-CN"/>
              </w:rPr>
            </w:pPr>
            <w:r>
              <w:rPr>
                <w:rFonts w:hint="eastAsia" w:ascii="宋体" w:hAnsi="宋体" w:eastAsia="宋体" w:cs="宋体"/>
                <w:color w:val="auto"/>
                <w:sz w:val="24"/>
                <w:szCs w:val="24"/>
                <w:highlight w:val="none"/>
                <w:lang w:val="en-US" w:eastAsia="zh-CN"/>
              </w:rPr>
              <w:t>2.1配备基础模式：容量控制通气模式和容量同步间歇指令通气模式（容量模式流速波形可调方波、50%或100%递减波）；压力控制通气模式和压力控制通气模式；持续气道正压通气模式/压力支持通气模式、窒息通气模式；</w:t>
            </w:r>
          </w:p>
          <w:p w14:paraId="6298945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cyan"/>
                <w:lang w:val="en-US" w:eastAsia="zh-CN"/>
              </w:rPr>
            </w:pPr>
            <w:r>
              <w:rPr>
                <w:rFonts w:hint="eastAsia" w:ascii="宋体" w:hAnsi="宋体" w:eastAsia="宋体" w:cs="宋体"/>
                <w:color w:val="auto"/>
                <w:sz w:val="24"/>
                <w:szCs w:val="24"/>
                <w:highlight w:val="none"/>
                <w:lang w:val="en-US" w:eastAsia="zh-CN"/>
              </w:rPr>
              <w:t>2.2配备高级模式：压力调节容量控制通气、压力调节容量控制-同步间歇指令通气模式；气道压力释放通气、双水平气道正压通气模式；容量支持通气；智能通气模式（自适应分钟通气，自适应支持通气等），心肺复苏通气模式；</w:t>
            </w:r>
          </w:p>
          <w:p w14:paraId="1BFC19D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2.3支持无创通气模式，包含压力控制通气模式、压力控制通气模式、持续气道正压通气模式/压力支持通气模式、双水平气道正压通气模式、气道压力释放通气等模式；</w:t>
            </w:r>
          </w:p>
          <w:p w14:paraId="253FEC4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2.4.具备手动呼吸、吸气保持、呼气保持、雾化、增氧功能；</w:t>
            </w:r>
          </w:p>
          <w:p w14:paraId="568989A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2.5具备高流速氧疗功能，氧疗流速（最大氧疗流速≥80L/min）和氧浓度可设，并具有氧疗计时功能，配备湿化器；</w:t>
            </w:r>
          </w:p>
          <w:p w14:paraId="39C550C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2.6具备智能同步技术，自动调节吸气触发/呼气触发灵敏度，自动调节压力上升时间；</w:t>
            </w:r>
          </w:p>
          <w:p w14:paraId="55DD6E8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2.7具有自动插管阻力补偿功能；</w:t>
            </w:r>
          </w:p>
          <w:p w14:paraId="21B7E81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2.8具备脱机辅助工具，具有NIF、RSBi及P0.1等脱机参数监测和测量；</w:t>
            </w:r>
          </w:p>
          <w:p w14:paraId="5E54F24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2.9具备肺复张工具，标配低流速P-V工具；</w:t>
            </w:r>
          </w:p>
          <w:p w14:paraId="3DA16F1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2.10具有待机功能并可设定病人理想体重或身高，具有单位理想体重呼气潮气量（TVe/IBW）参数监测功能；</w:t>
            </w:r>
          </w:p>
          <w:p w14:paraId="33B72CE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2.11具有辅助压置管工具，实时提示食道压气囊合适位置，一键阻塞实验确认气囊位置</w:t>
            </w:r>
          </w:p>
          <w:p w14:paraId="74DC882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3.设置参数</w:t>
            </w:r>
          </w:p>
          <w:p w14:paraId="7F460A4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3.1潮气量：20ml～4000ml；</w:t>
            </w:r>
          </w:p>
          <w:p w14:paraId="32940B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3.2呼吸频率：1～100/min；</w:t>
            </w:r>
          </w:p>
          <w:p w14:paraId="0CABA59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3.3吸气流速：6～180L/min；</w:t>
            </w:r>
          </w:p>
          <w:p w14:paraId="33FD89B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3.4最大峰值流速：≥180L/min；</w:t>
            </w:r>
          </w:p>
          <w:p w14:paraId="1A59718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3.5 PEEP：0～50 cmH</w:t>
            </w:r>
            <w:r>
              <w:rPr>
                <w:rFonts w:hint="eastAsia" w:ascii="宋体" w:hAnsi="宋体" w:eastAsia="宋体" w:cs="宋体"/>
                <w:color w:val="auto"/>
                <w:sz w:val="24"/>
                <w:szCs w:val="24"/>
                <w:vertAlign w:val="subscript"/>
                <w:lang w:val="en-US" w:eastAsia="zh-CN"/>
              </w:rPr>
              <w:t>2</w:t>
            </w:r>
            <w:r>
              <w:rPr>
                <w:rFonts w:hint="eastAsia" w:ascii="宋体" w:hAnsi="宋体" w:eastAsia="宋体" w:cs="宋体"/>
                <w:color w:val="auto"/>
                <w:sz w:val="24"/>
                <w:szCs w:val="24"/>
                <w:lang w:val="en-US" w:eastAsia="zh-CN"/>
              </w:rPr>
              <w:t>O；</w:t>
            </w:r>
          </w:p>
          <w:p w14:paraId="232B1BA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3.6具有叹息功能；</w:t>
            </w:r>
          </w:p>
          <w:p w14:paraId="12F350B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4.监测参数</w:t>
            </w:r>
          </w:p>
          <w:p w14:paraId="5754B89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4.1肺力学参数监测：吸气阻力、呼气阻力、静态顺应性、动态顺应性、时间常数、总呼吸功、病人呼吸功、机器呼吸功、附加功等参数监测；</w:t>
            </w:r>
          </w:p>
          <w:p w14:paraId="2BCF015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4.2气道压力监测：气道峰压、平台压、平均压、呼气末正压、驱动压等参数监测；</w:t>
            </w:r>
          </w:p>
          <w:p w14:paraId="72F16EA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4.3实时提供食道压和胃内压的辅助压监测参数</w:t>
            </w:r>
          </w:p>
          <w:p w14:paraId="49E8933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4.4实时监测压力-时间曲线形态，并量化为牵张指数；</w:t>
            </w:r>
          </w:p>
          <w:p w14:paraId="5E3C3A4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4.5实时监测压力/容积环形态，并量化为肺过度膨胀系数C20/C；</w:t>
            </w:r>
          </w:p>
          <w:p w14:paraId="26EC48E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4.6具备顺磁式氧浓度监测技术；</w:t>
            </w:r>
          </w:p>
          <w:p w14:paraId="28FC008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4.7具备自主呼吸努力Pmus监测功能或者FRC监测功能；</w:t>
            </w:r>
          </w:p>
          <w:p w14:paraId="2D5F904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5.信息互连：支持有线或无线方式与中央监护系统互联，可将呼吸机的监测信息参数和波形实时显示到中央监护系统上，满足科室信息化的需求；</w:t>
            </w:r>
          </w:p>
          <w:p w14:paraId="1AF5E69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6.设备使用年限≥10年（提供出厂铭牌或说明书）；</w:t>
            </w:r>
          </w:p>
          <w:p w14:paraId="3EF90E7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7.出厂铭牌标注的生产日期不得早于供货日期90日（提供承诺书）。</w:t>
            </w:r>
          </w:p>
          <w:p w14:paraId="7EAAB82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三、配置要求（单台配置要求）</w:t>
            </w:r>
          </w:p>
          <w:p w14:paraId="05DBA04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vertAlign w:val="baseline"/>
                <w:lang w:val="en-US" w:eastAsia="zh-CN"/>
              </w:rPr>
              <w:t>天津市静海区医院 1台 预算：25万元/台</w:t>
            </w:r>
          </w:p>
          <w:p w14:paraId="2C535D4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1.呼吸机主机1台</w:t>
            </w:r>
          </w:p>
          <w:p w14:paraId="3D703A6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2.气源软管1套；</w:t>
            </w:r>
          </w:p>
          <w:p w14:paraId="76FF2A1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3.台车1台；</w:t>
            </w:r>
          </w:p>
          <w:p w14:paraId="163E199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4.支撑臂1根；</w:t>
            </w:r>
          </w:p>
          <w:p w14:paraId="5C100F9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5.成人模拟肺1套；</w:t>
            </w:r>
          </w:p>
          <w:p w14:paraId="2C29174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6一次性细菌过滤器1个</w:t>
            </w:r>
            <w:r>
              <w:rPr>
                <w:rFonts w:hint="eastAsia" w:ascii="宋体" w:hAnsi="宋体" w:cs="宋体"/>
                <w:color w:val="auto"/>
                <w:sz w:val="24"/>
                <w:szCs w:val="24"/>
                <w:lang w:val="en-US" w:eastAsia="zh-CN"/>
              </w:rPr>
              <w:t>；</w:t>
            </w:r>
          </w:p>
          <w:p w14:paraId="7D7664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lang w:val="en-US" w:eastAsia="zh-CN" w:bidi="ar-SA"/>
              </w:rPr>
              <w:t>7.</w:t>
            </w:r>
            <w:r>
              <w:rPr>
                <w:rFonts w:hint="eastAsia" w:ascii="宋体" w:hAnsi="宋体" w:eastAsia="宋体" w:cs="宋体"/>
                <w:color w:val="auto"/>
                <w:sz w:val="24"/>
                <w:szCs w:val="24"/>
                <w:lang w:val="en-US" w:eastAsia="zh-CN"/>
              </w:rPr>
              <w:t>≥18英寸彩色触摸屏，分辨率≥1920×1080；</w:t>
            </w:r>
          </w:p>
          <w:p w14:paraId="700E6AA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8.辅助压置管工具1套；</w:t>
            </w:r>
          </w:p>
          <w:p w14:paraId="01043AC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 xml:space="preserve">天津市静海区医院 11台 </w:t>
            </w:r>
            <w:r>
              <w:rPr>
                <w:rFonts w:hint="eastAsia" w:ascii="宋体" w:hAnsi="宋体" w:eastAsia="宋体" w:cs="宋体"/>
                <w:b/>
                <w:bCs/>
                <w:color w:val="auto"/>
                <w:sz w:val="24"/>
                <w:szCs w:val="24"/>
                <w:vertAlign w:val="baseline"/>
                <w:lang w:val="en-US" w:eastAsia="zh-CN"/>
              </w:rPr>
              <w:t>预算：16万元/台</w:t>
            </w:r>
          </w:p>
          <w:p w14:paraId="7989D09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1.呼吸机主机1台</w:t>
            </w:r>
            <w:r>
              <w:rPr>
                <w:rFonts w:hint="eastAsia" w:ascii="宋体" w:hAnsi="宋体" w:cs="宋体"/>
                <w:color w:val="auto"/>
                <w:sz w:val="24"/>
                <w:szCs w:val="24"/>
                <w:lang w:val="en-US" w:eastAsia="zh-CN"/>
              </w:rPr>
              <w:t>；</w:t>
            </w:r>
          </w:p>
          <w:p w14:paraId="0D6056F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2.气源软管1套；</w:t>
            </w:r>
          </w:p>
          <w:p w14:paraId="44AE3D0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3.台车1台；</w:t>
            </w:r>
          </w:p>
          <w:p w14:paraId="383F283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4.支撑臂1根；</w:t>
            </w:r>
          </w:p>
          <w:p w14:paraId="4DD7204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5.成人模拟肺1套；</w:t>
            </w:r>
          </w:p>
          <w:p w14:paraId="49465BC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6一次性细菌过滤器1个</w:t>
            </w:r>
            <w:r>
              <w:rPr>
                <w:rFonts w:hint="eastAsia" w:ascii="宋体" w:hAnsi="宋体" w:cs="宋体"/>
                <w:color w:val="auto"/>
                <w:sz w:val="24"/>
                <w:szCs w:val="24"/>
                <w:lang w:val="en-US" w:eastAsia="zh-CN"/>
              </w:rPr>
              <w:t>；</w:t>
            </w:r>
          </w:p>
          <w:p w14:paraId="2B8A5F92">
            <w:pPr>
              <w:snapToGrid w:val="0"/>
              <w:spacing w:line="300" w:lineRule="exact"/>
              <w:jc w:val="left"/>
              <w:rPr>
                <w:rFonts w:hint="eastAsia" w:ascii="宋体" w:hAnsi="宋体" w:cs="宋体"/>
                <w:color w:val="000000"/>
                <w:sz w:val="24"/>
                <w:szCs w:val="24"/>
              </w:rPr>
            </w:pPr>
            <w:r>
              <w:rPr>
                <w:rFonts w:hint="eastAsia" w:ascii="宋体" w:hAnsi="宋体" w:eastAsia="宋体" w:cs="宋体"/>
                <w:color w:val="auto"/>
                <w:sz w:val="24"/>
                <w:szCs w:val="24"/>
                <w:lang w:val="en-US" w:eastAsia="zh-CN"/>
              </w:rPr>
              <w:t>7.≥15英寸彩色触摸屏，分辨率≥1920×1080；</w:t>
            </w:r>
          </w:p>
        </w:tc>
      </w:tr>
    </w:tbl>
    <w:p w14:paraId="5F0745B5">
      <w:pPr>
        <w:pStyle w:val="16"/>
        <w:spacing w:line="360" w:lineRule="auto"/>
        <w:ind w:firstLine="480" w:firstLineChars="200"/>
        <w:jc w:val="both"/>
        <w:rPr>
          <w:rFonts w:hint="eastAsia" w:ascii="Times New Roman" w:hAnsi="Times New Roman" w:eastAsia="宋体" w:cs="Times New Roman"/>
          <w:color w:val="auto"/>
        </w:rPr>
      </w:pPr>
    </w:p>
    <w:p w14:paraId="6C7F1388">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第四包：无创呼吸机1台</w:t>
      </w:r>
    </w:p>
    <w:p w14:paraId="5FB564B7">
      <w:pPr>
        <w:pStyle w:val="16"/>
        <w:spacing w:line="360" w:lineRule="auto"/>
        <w:ind w:firstLine="480"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14:paraId="3AD3664E">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所投全部产品须按照《医疗器械注册与备案管理办法》（国家市场监督管理总局令第47号）的规定，提供医疗器械备案证明材料或医疗器械注册证扫描件。</w:t>
      </w:r>
    </w:p>
    <w:p w14:paraId="64CF44B9">
      <w:pPr>
        <w:spacing w:line="360" w:lineRule="auto"/>
        <w:ind w:firstLine="480" w:firstLineChars="200"/>
        <w:outlineLvl w:val="0"/>
        <w:rPr>
          <w:sz w:val="24"/>
        </w:rPr>
      </w:pPr>
      <w:r>
        <w:rPr>
          <w:rFonts w:hint="eastAsia"/>
          <w:sz w:val="24"/>
        </w:rPr>
        <w:t>2. 技术参数</w:t>
      </w:r>
    </w:p>
    <w:tbl>
      <w:tblPr>
        <w:tblStyle w:val="7"/>
        <w:tblW w:w="56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364"/>
        <w:gridCol w:w="755"/>
        <w:gridCol w:w="850"/>
        <w:gridCol w:w="5887"/>
      </w:tblGrid>
      <w:tr w14:paraId="485E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33" w:type="pct"/>
            <w:tcBorders>
              <w:top w:val="single" w:color="auto" w:sz="4" w:space="0"/>
              <w:left w:val="single" w:color="auto" w:sz="4" w:space="0"/>
              <w:bottom w:val="single" w:color="auto" w:sz="4" w:space="0"/>
              <w:right w:val="single" w:color="auto" w:sz="4" w:space="0"/>
            </w:tcBorders>
            <w:vAlign w:val="center"/>
          </w:tcPr>
          <w:p w14:paraId="5A91E9EE">
            <w:pPr>
              <w:widowControl/>
              <w:jc w:val="center"/>
              <w:rPr>
                <w:rFonts w:cs="宋体"/>
                <w:kern w:val="0"/>
                <w:sz w:val="24"/>
                <w:szCs w:val="24"/>
              </w:rPr>
            </w:pPr>
            <w:r>
              <w:rPr>
                <w:rFonts w:hint="eastAsia" w:cs="宋体"/>
                <w:kern w:val="0"/>
                <w:sz w:val="24"/>
              </w:rPr>
              <w:t>序号</w:t>
            </w:r>
          </w:p>
        </w:tc>
        <w:tc>
          <w:tcPr>
            <w:tcW w:w="703" w:type="pct"/>
            <w:tcBorders>
              <w:top w:val="single" w:color="auto" w:sz="4" w:space="0"/>
              <w:left w:val="single" w:color="auto" w:sz="4" w:space="0"/>
              <w:bottom w:val="single" w:color="auto" w:sz="4" w:space="0"/>
              <w:right w:val="single" w:color="auto" w:sz="4" w:space="0"/>
            </w:tcBorders>
            <w:vAlign w:val="center"/>
          </w:tcPr>
          <w:p w14:paraId="7CCE3B63">
            <w:pPr>
              <w:widowControl/>
              <w:jc w:val="center"/>
              <w:rPr>
                <w:rFonts w:cs="宋体"/>
                <w:kern w:val="0"/>
                <w:sz w:val="24"/>
                <w:szCs w:val="24"/>
              </w:rPr>
            </w:pPr>
            <w:r>
              <w:rPr>
                <w:rFonts w:hint="eastAsia" w:cs="宋体"/>
                <w:kern w:val="0"/>
                <w:sz w:val="24"/>
              </w:rPr>
              <w:t>标的名称</w:t>
            </w:r>
          </w:p>
        </w:tc>
        <w:tc>
          <w:tcPr>
            <w:tcW w:w="389" w:type="pct"/>
            <w:tcBorders>
              <w:top w:val="single" w:color="auto" w:sz="4" w:space="0"/>
              <w:left w:val="single" w:color="auto" w:sz="4" w:space="0"/>
              <w:bottom w:val="single" w:color="auto" w:sz="4" w:space="0"/>
              <w:right w:val="single" w:color="auto" w:sz="4" w:space="0"/>
            </w:tcBorders>
            <w:vAlign w:val="center"/>
          </w:tcPr>
          <w:p w14:paraId="5ED402BD">
            <w:pPr>
              <w:widowControl/>
              <w:jc w:val="center"/>
              <w:rPr>
                <w:rFonts w:cs="宋体"/>
                <w:kern w:val="0"/>
                <w:sz w:val="24"/>
                <w:szCs w:val="24"/>
              </w:rPr>
            </w:pPr>
            <w:r>
              <w:rPr>
                <w:rFonts w:cs="宋体"/>
                <w:kern w:val="0"/>
                <w:sz w:val="24"/>
                <w:szCs w:val="24"/>
              </w:rPr>
              <w:t>单位</w:t>
            </w:r>
          </w:p>
        </w:tc>
        <w:tc>
          <w:tcPr>
            <w:tcW w:w="438" w:type="pct"/>
            <w:tcBorders>
              <w:top w:val="single" w:color="auto" w:sz="4" w:space="0"/>
              <w:left w:val="single" w:color="auto" w:sz="4" w:space="0"/>
              <w:bottom w:val="single" w:color="auto" w:sz="4" w:space="0"/>
              <w:right w:val="single" w:color="auto" w:sz="4" w:space="0"/>
            </w:tcBorders>
            <w:vAlign w:val="center"/>
          </w:tcPr>
          <w:p w14:paraId="447839D8">
            <w:pPr>
              <w:widowControl/>
              <w:jc w:val="center"/>
              <w:rPr>
                <w:rFonts w:cs="宋体"/>
                <w:kern w:val="0"/>
                <w:sz w:val="24"/>
              </w:rPr>
            </w:pPr>
            <w:r>
              <w:rPr>
                <w:rFonts w:hint="eastAsia" w:cs="宋体"/>
                <w:kern w:val="0"/>
                <w:sz w:val="24"/>
              </w:rPr>
              <w:t>数量</w:t>
            </w:r>
          </w:p>
        </w:tc>
        <w:tc>
          <w:tcPr>
            <w:tcW w:w="3035" w:type="pct"/>
            <w:tcBorders>
              <w:top w:val="single" w:color="auto" w:sz="4" w:space="0"/>
              <w:left w:val="single" w:color="auto" w:sz="4" w:space="0"/>
              <w:bottom w:val="single" w:color="auto" w:sz="4" w:space="0"/>
              <w:right w:val="single" w:color="auto" w:sz="4" w:space="0"/>
            </w:tcBorders>
            <w:vAlign w:val="center"/>
          </w:tcPr>
          <w:p w14:paraId="37341518">
            <w:pPr>
              <w:widowControl/>
              <w:spacing w:line="300" w:lineRule="exact"/>
              <w:jc w:val="center"/>
              <w:rPr>
                <w:rFonts w:cs="宋体"/>
                <w:kern w:val="0"/>
                <w:sz w:val="24"/>
                <w:szCs w:val="24"/>
              </w:rPr>
            </w:pPr>
            <w:r>
              <w:rPr>
                <w:rFonts w:hint="eastAsia" w:cs="宋体"/>
                <w:kern w:val="0"/>
                <w:sz w:val="24"/>
              </w:rPr>
              <w:t>需求条款</w:t>
            </w:r>
          </w:p>
        </w:tc>
      </w:tr>
      <w:tr w14:paraId="43A7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tcBorders>
              <w:top w:val="single" w:color="auto" w:sz="4" w:space="0"/>
              <w:left w:val="single" w:color="auto" w:sz="4" w:space="0"/>
              <w:bottom w:val="single" w:color="auto" w:sz="4" w:space="0"/>
              <w:right w:val="single" w:color="auto" w:sz="4" w:space="0"/>
            </w:tcBorders>
            <w:vAlign w:val="center"/>
          </w:tcPr>
          <w:p w14:paraId="1800276D">
            <w:pPr>
              <w:snapToGrid w:val="0"/>
              <w:spacing w:line="360" w:lineRule="auto"/>
              <w:jc w:val="center"/>
              <w:rPr>
                <w:rFonts w:ascii="宋体" w:hAnsi="宋体" w:cs="宋体"/>
                <w:sz w:val="24"/>
                <w:szCs w:val="24"/>
              </w:rPr>
            </w:pPr>
            <w:r>
              <w:rPr>
                <w:rFonts w:hint="eastAsia" w:ascii="宋体" w:hAnsi="宋体" w:cs="宋体"/>
                <w:sz w:val="24"/>
                <w:szCs w:val="24"/>
              </w:rPr>
              <w:t>1</w:t>
            </w:r>
          </w:p>
        </w:tc>
        <w:tc>
          <w:tcPr>
            <w:tcW w:w="703" w:type="pct"/>
            <w:tcBorders>
              <w:top w:val="single" w:color="auto" w:sz="4" w:space="0"/>
              <w:left w:val="single" w:color="auto" w:sz="4" w:space="0"/>
              <w:bottom w:val="single" w:color="auto" w:sz="4" w:space="0"/>
              <w:right w:val="single" w:color="auto" w:sz="4" w:space="0"/>
            </w:tcBorders>
            <w:vAlign w:val="center"/>
          </w:tcPr>
          <w:p w14:paraId="1C8DF25B">
            <w:pPr>
              <w:jc w:val="center"/>
              <w:rPr>
                <w:rFonts w:ascii="宋体" w:hAnsi="宋体" w:cs="宋体"/>
                <w:sz w:val="24"/>
                <w:szCs w:val="24"/>
              </w:rPr>
            </w:pPr>
            <w:r>
              <w:rPr>
                <w:rFonts w:hint="eastAsia"/>
                <w:sz w:val="24"/>
              </w:rPr>
              <w:t>▲</w:t>
            </w:r>
            <w:r>
              <w:rPr>
                <w:rFonts w:hint="eastAsia" w:ascii="Times New Roman" w:hAnsi="Times New Roman" w:eastAsia="宋体" w:cs="宋体"/>
                <w:color w:val="000000"/>
                <w:kern w:val="0"/>
                <w:sz w:val="24"/>
                <w:szCs w:val="21"/>
                <w:lang w:val="en-US" w:eastAsia="zh-CN"/>
              </w:rPr>
              <w:t>无创呼吸机</w:t>
            </w:r>
          </w:p>
        </w:tc>
        <w:tc>
          <w:tcPr>
            <w:tcW w:w="389" w:type="pct"/>
            <w:tcBorders>
              <w:top w:val="single" w:color="auto" w:sz="4" w:space="0"/>
              <w:left w:val="single" w:color="auto" w:sz="4" w:space="0"/>
              <w:bottom w:val="single" w:color="auto" w:sz="4" w:space="0"/>
              <w:right w:val="single" w:color="auto" w:sz="4" w:space="0"/>
            </w:tcBorders>
            <w:vAlign w:val="center"/>
          </w:tcPr>
          <w:p w14:paraId="4048F277">
            <w:pPr>
              <w:jc w:val="center"/>
              <w:rPr>
                <w:rFonts w:cs="宋体"/>
                <w:color w:val="000000"/>
                <w:kern w:val="0"/>
                <w:sz w:val="24"/>
                <w:szCs w:val="21"/>
              </w:rPr>
            </w:pPr>
            <w:r>
              <w:rPr>
                <w:rFonts w:hint="eastAsia" w:ascii="宋体" w:hAnsi="宋体" w:cs="宋体"/>
                <w:sz w:val="24"/>
                <w:szCs w:val="24"/>
              </w:rPr>
              <w:t>台</w:t>
            </w:r>
          </w:p>
        </w:tc>
        <w:tc>
          <w:tcPr>
            <w:tcW w:w="438" w:type="pct"/>
            <w:tcBorders>
              <w:top w:val="single" w:color="auto" w:sz="4" w:space="0"/>
              <w:left w:val="single" w:color="auto" w:sz="4" w:space="0"/>
              <w:bottom w:val="single" w:color="auto" w:sz="4" w:space="0"/>
              <w:right w:val="single" w:color="auto" w:sz="4" w:space="0"/>
            </w:tcBorders>
            <w:vAlign w:val="center"/>
          </w:tcPr>
          <w:p w14:paraId="45632D23">
            <w:pPr>
              <w:snapToGrid w:val="0"/>
              <w:spacing w:line="360" w:lineRule="auto"/>
              <w:jc w:val="center"/>
              <w:rPr>
                <w:rFonts w:ascii="宋体" w:hAnsi="宋体" w:cs="宋体"/>
                <w:sz w:val="24"/>
                <w:szCs w:val="24"/>
              </w:rPr>
            </w:pPr>
            <w:r>
              <w:rPr>
                <w:rFonts w:hint="eastAsia" w:ascii="宋体" w:hAnsi="宋体" w:cs="宋体"/>
                <w:sz w:val="24"/>
                <w:szCs w:val="24"/>
              </w:rPr>
              <w:t>1</w:t>
            </w:r>
          </w:p>
        </w:tc>
        <w:tc>
          <w:tcPr>
            <w:tcW w:w="3035" w:type="pct"/>
            <w:tcBorders>
              <w:top w:val="single" w:color="auto" w:sz="4" w:space="0"/>
              <w:left w:val="single" w:color="auto" w:sz="4" w:space="0"/>
              <w:bottom w:val="single" w:color="auto" w:sz="4" w:space="0"/>
              <w:right w:val="single" w:color="auto" w:sz="4" w:space="0"/>
            </w:tcBorders>
          </w:tcPr>
          <w:p w14:paraId="459412AA">
            <w:pPr>
              <w:pStyle w:val="17"/>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1.适用患者：成人、儿童</w:t>
            </w:r>
          </w:p>
          <w:p w14:paraId="5C9CEADC">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2.搭载≥15英寸彩色全触屏显示器，分辨率为1920X1080，方便医护人员对参数进行调节及观察。</w:t>
            </w:r>
          </w:p>
          <w:p w14:paraId="0AEAD15E">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3.电动电控呼吸机，最大流速≥240L/min</w:t>
            </w:r>
          </w:p>
          <w:p w14:paraId="6D6EB5A6">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4.内置锂电池，电池工作时间不低于2小时。</w:t>
            </w:r>
          </w:p>
          <w:p w14:paraId="4558A173">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5.呼吸机的漏气补偿≥150L/min</w:t>
            </w:r>
          </w:p>
          <w:p w14:paraId="4662AFFF">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6.具有屏幕锁功能，防止误触造成通气参数改变</w:t>
            </w:r>
          </w:p>
          <w:p w14:paraId="11D3718D">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通气模式</w:t>
            </w:r>
          </w:p>
          <w:p w14:paraId="4362CB8B">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7.持续气道正压 CPAP、自主/时间切换S/T、时间切换通气T </w:t>
            </w:r>
          </w:p>
          <w:p w14:paraId="4027732E">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8.具备潮气量保证压力自动调节模式</w:t>
            </w:r>
          </w:p>
          <w:p w14:paraId="447A83D4">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9.具有高流量氧疗模式</w:t>
            </w:r>
          </w:p>
          <w:p w14:paraId="2B2026DF">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具备窒息通气</w:t>
            </w:r>
          </w:p>
          <w:p w14:paraId="4DDA7B1C">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具有呼气压力释放功能，且压力释放多档可调</w:t>
            </w:r>
          </w:p>
          <w:p w14:paraId="0B7FFE19">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具备波形冻结、屏幕拷贝、手动通气等辅助功能</w:t>
            </w:r>
          </w:p>
          <w:p w14:paraId="17B05F8A">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潮气量： 100-2000ml</w:t>
            </w:r>
          </w:p>
          <w:p w14:paraId="644DFB9C">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 xml:space="preserve">呼吸频率：1-60bpm </w:t>
            </w:r>
          </w:p>
          <w:p w14:paraId="1EBA7EA5">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吸气时间：0.3-4s</w:t>
            </w:r>
          </w:p>
          <w:p w14:paraId="739933CA">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压力上升时间：0.1-2.0s</w:t>
            </w:r>
          </w:p>
          <w:p w14:paraId="5764C0E5">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吸气压力（IPAP）：4-50cmH</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O，参数设置起调值不得低于4cmH</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O，避免对临床参数设置误导。</w:t>
            </w:r>
          </w:p>
          <w:p w14:paraId="4F48FC6A">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18</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呼气末正压(EPAP)： 4-30cmH</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O</w:t>
            </w:r>
          </w:p>
          <w:p w14:paraId="3E084593">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吸入氧浓度： 21%~100%</w:t>
            </w:r>
          </w:p>
          <w:p w14:paraId="5E61F4CA">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持续气道正压（CPAP）： 4-20cmH</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O</w:t>
            </w:r>
          </w:p>
          <w:p w14:paraId="582F95D6">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吸气压力最大值（Pmax）： 6-50cmH</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 xml:space="preserve">O </w:t>
            </w:r>
          </w:p>
          <w:p w14:paraId="34940DC8">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吸气压力最小值（Pmin）： 5-30cmH</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O</w:t>
            </w:r>
          </w:p>
          <w:p w14:paraId="5994B33C">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触发灵敏度多挡可调</w:t>
            </w:r>
          </w:p>
          <w:p w14:paraId="1679E5C2">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监测参数</w:t>
            </w:r>
          </w:p>
          <w:p w14:paraId="2C533573">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压力监测：气道峰压（Ppeak），EPAP、</w:t>
            </w:r>
          </w:p>
          <w:p w14:paraId="0F365545">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容量、流速监测：呼吸频率、潮气量、分钟通气量、总漏气量</w:t>
            </w:r>
          </w:p>
          <w:p w14:paraId="3271FF66">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26</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可同屏显示波形：压力-时间、容量-时间、流速-时间</w:t>
            </w:r>
          </w:p>
          <w:p w14:paraId="1D6F4131">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27</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可对吸入氧浓度、血氧饱和度、脉率进行监测显示</w:t>
            </w:r>
          </w:p>
          <w:p w14:paraId="2757EFBA">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报警参数</w:t>
            </w:r>
          </w:p>
          <w:p w14:paraId="5E42341F">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28</w:t>
            </w:r>
            <w:r>
              <w:rPr>
                <w:rFonts w:hint="eastAsia" w:ascii="宋体" w:hAnsi="宋体" w:eastAsia="宋体" w:cs="宋体"/>
                <w:color w:val="auto"/>
                <w:sz w:val="24"/>
                <w:szCs w:val="24"/>
              </w:rPr>
              <w:t>.</w:t>
            </w:r>
            <w:r>
              <w:rPr>
                <w:rFonts w:hint="eastAsia" w:ascii="宋体" w:hAnsi="宋体" w:eastAsia="宋体" w:cs="宋体"/>
                <w:color w:val="auto"/>
                <w:sz w:val="24"/>
                <w:szCs w:val="24"/>
              </w:rPr>
              <w:tab/>
            </w:r>
            <w:r>
              <w:rPr>
                <w:rFonts w:hint="eastAsia" w:ascii="宋体" w:hAnsi="宋体" w:eastAsia="宋体" w:cs="宋体"/>
                <w:color w:val="auto"/>
                <w:sz w:val="24"/>
                <w:szCs w:val="24"/>
              </w:rPr>
              <w:t>气道高压报警、气道低压报警、呼气末压力高低报警、总计呼吸频率高低报警、氧浓度高低报警、分钟通气量高低报警、脉率高低报警、SPO</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低报警。</w:t>
            </w:r>
          </w:p>
          <w:p w14:paraId="1FF17E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29.设备使用年限≥10年（提供出厂铭牌或说明书）；</w:t>
            </w:r>
          </w:p>
          <w:p w14:paraId="2DF7477B">
            <w:pPr>
              <w:keepNext w:val="0"/>
              <w:keepLines w:val="0"/>
              <w:pageBreakBefore w:val="0"/>
              <w:widowControl w:val="0"/>
              <w:kinsoku/>
              <w:wordWrap/>
              <w:overflowPunct/>
              <w:topLinePunct w:val="0"/>
              <w:autoSpaceDE/>
              <w:autoSpaceDN/>
              <w:bidi w:val="0"/>
              <w:adjustRightInd/>
              <w:spacing w:line="360" w:lineRule="auto"/>
              <w:ind w:left="0" w:firstLine="0"/>
              <w:textAlignment w:val="auto"/>
              <w:rPr>
                <w:rFonts w:ascii="宋体" w:hAnsi="宋体" w:cs="宋体"/>
                <w:color w:val="000000"/>
                <w:sz w:val="24"/>
                <w:szCs w:val="24"/>
              </w:rPr>
            </w:pPr>
            <w:r>
              <w:rPr>
                <w:rFonts w:hint="eastAsia" w:ascii="宋体" w:hAnsi="宋体" w:eastAsia="宋体" w:cs="宋体"/>
                <w:color w:val="auto"/>
                <w:sz w:val="24"/>
                <w:szCs w:val="24"/>
                <w:lang w:val="en-US" w:eastAsia="zh-CN"/>
              </w:rPr>
              <w:t>30.出厂铭牌标注的生产日期不得早于供货日期90日（提供承诺书）</w:t>
            </w:r>
          </w:p>
        </w:tc>
      </w:tr>
    </w:tbl>
    <w:p w14:paraId="7151B3BD">
      <w:pPr>
        <w:pStyle w:val="16"/>
        <w:spacing w:line="360" w:lineRule="auto"/>
        <w:ind w:firstLine="480" w:firstLineChars="200"/>
        <w:jc w:val="both"/>
        <w:rPr>
          <w:rFonts w:hint="eastAsia" w:ascii="Times New Roman" w:hAnsi="Times New Roman" w:eastAsia="宋体" w:cs="Times New Roman"/>
          <w:color w:val="auto"/>
        </w:rPr>
      </w:pPr>
    </w:p>
    <w:p w14:paraId="6EF77B71">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第五包：麻醉机（1）3台、麻醉机（2）1台、麻醉机（3）4台</w:t>
      </w:r>
    </w:p>
    <w:p w14:paraId="77007B43">
      <w:pPr>
        <w:pStyle w:val="16"/>
        <w:spacing w:line="360" w:lineRule="auto"/>
        <w:ind w:firstLine="480" w:firstLineChars="200"/>
        <w:jc w:val="both"/>
        <w:rPr>
          <w:rFonts w:ascii="Times New Roman" w:hAnsi="Times New Roman" w:eastAsia="宋体" w:cs="Times New Roman"/>
          <w:color w:val="auto"/>
        </w:rPr>
      </w:pPr>
      <w:r>
        <w:rPr>
          <w:rFonts w:hint="eastAsia"/>
          <w:color w:val="auto"/>
        </w:rPr>
        <w:t>★</w:t>
      </w:r>
      <w:r>
        <w:rPr>
          <w:rFonts w:hint="eastAsia" w:ascii="Times New Roman" w:hAnsi="Times New Roman" w:eastAsia="宋体" w:cs="Times New Roman"/>
          <w:color w:val="auto"/>
        </w:rPr>
        <w:t>1. 投标产品实质性要求</w:t>
      </w:r>
    </w:p>
    <w:p w14:paraId="15BEE048">
      <w:pPr>
        <w:pStyle w:val="16"/>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所投全部产品须按照《医疗器械注册与备案管理办法》（国家市场监督管理总局令第47号）的规定，提供医疗器械备案证明材料或医疗器械注册证扫描件。</w:t>
      </w:r>
    </w:p>
    <w:p w14:paraId="63715AF4">
      <w:pPr>
        <w:spacing w:line="360" w:lineRule="auto"/>
        <w:ind w:firstLine="480" w:firstLineChars="200"/>
        <w:outlineLvl w:val="0"/>
        <w:rPr>
          <w:sz w:val="24"/>
        </w:rPr>
      </w:pPr>
      <w:r>
        <w:rPr>
          <w:rFonts w:hint="eastAsia"/>
          <w:sz w:val="24"/>
        </w:rPr>
        <w:t>2. 技术参数</w:t>
      </w:r>
    </w:p>
    <w:tbl>
      <w:tblPr>
        <w:tblStyle w:val="7"/>
        <w:tblW w:w="56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364"/>
        <w:gridCol w:w="755"/>
        <w:gridCol w:w="850"/>
        <w:gridCol w:w="5885"/>
      </w:tblGrid>
      <w:tr w14:paraId="20FB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34" w:type="pct"/>
            <w:tcBorders>
              <w:top w:val="single" w:color="auto" w:sz="4" w:space="0"/>
              <w:left w:val="single" w:color="auto" w:sz="4" w:space="0"/>
              <w:bottom w:val="single" w:color="auto" w:sz="4" w:space="0"/>
              <w:right w:val="single" w:color="auto" w:sz="4" w:space="0"/>
            </w:tcBorders>
            <w:vAlign w:val="center"/>
          </w:tcPr>
          <w:p w14:paraId="314ED8C4">
            <w:pPr>
              <w:widowControl/>
              <w:jc w:val="center"/>
              <w:rPr>
                <w:rFonts w:cs="宋体"/>
                <w:kern w:val="0"/>
                <w:sz w:val="24"/>
                <w:szCs w:val="24"/>
              </w:rPr>
            </w:pPr>
            <w:r>
              <w:rPr>
                <w:rFonts w:hint="eastAsia" w:cs="宋体"/>
                <w:kern w:val="0"/>
                <w:sz w:val="24"/>
              </w:rPr>
              <w:t>序号</w:t>
            </w:r>
          </w:p>
        </w:tc>
        <w:tc>
          <w:tcPr>
            <w:tcW w:w="703" w:type="pct"/>
            <w:tcBorders>
              <w:top w:val="single" w:color="auto" w:sz="4" w:space="0"/>
              <w:left w:val="single" w:color="auto" w:sz="4" w:space="0"/>
              <w:bottom w:val="single" w:color="auto" w:sz="4" w:space="0"/>
              <w:right w:val="single" w:color="auto" w:sz="4" w:space="0"/>
            </w:tcBorders>
            <w:vAlign w:val="center"/>
          </w:tcPr>
          <w:p w14:paraId="76E9D393">
            <w:pPr>
              <w:widowControl/>
              <w:jc w:val="center"/>
              <w:rPr>
                <w:rFonts w:cs="宋体"/>
                <w:kern w:val="0"/>
                <w:sz w:val="24"/>
                <w:szCs w:val="24"/>
              </w:rPr>
            </w:pPr>
            <w:r>
              <w:rPr>
                <w:rFonts w:hint="eastAsia" w:cs="宋体"/>
                <w:kern w:val="0"/>
                <w:sz w:val="24"/>
              </w:rPr>
              <w:t>标的名称</w:t>
            </w:r>
          </w:p>
        </w:tc>
        <w:tc>
          <w:tcPr>
            <w:tcW w:w="389" w:type="pct"/>
            <w:tcBorders>
              <w:top w:val="single" w:color="auto" w:sz="4" w:space="0"/>
              <w:left w:val="single" w:color="auto" w:sz="4" w:space="0"/>
              <w:bottom w:val="single" w:color="auto" w:sz="4" w:space="0"/>
              <w:right w:val="single" w:color="auto" w:sz="4" w:space="0"/>
            </w:tcBorders>
            <w:vAlign w:val="center"/>
          </w:tcPr>
          <w:p w14:paraId="6512B1C4">
            <w:pPr>
              <w:widowControl/>
              <w:jc w:val="center"/>
              <w:rPr>
                <w:rFonts w:cs="宋体"/>
                <w:kern w:val="0"/>
                <w:sz w:val="24"/>
                <w:szCs w:val="24"/>
              </w:rPr>
            </w:pPr>
            <w:r>
              <w:rPr>
                <w:rFonts w:cs="宋体"/>
                <w:kern w:val="0"/>
                <w:sz w:val="24"/>
                <w:szCs w:val="24"/>
              </w:rPr>
              <w:t>单位</w:t>
            </w:r>
          </w:p>
        </w:tc>
        <w:tc>
          <w:tcPr>
            <w:tcW w:w="438" w:type="pct"/>
            <w:tcBorders>
              <w:top w:val="single" w:color="auto" w:sz="4" w:space="0"/>
              <w:left w:val="single" w:color="auto" w:sz="4" w:space="0"/>
              <w:bottom w:val="single" w:color="auto" w:sz="4" w:space="0"/>
              <w:right w:val="single" w:color="auto" w:sz="4" w:space="0"/>
            </w:tcBorders>
            <w:vAlign w:val="center"/>
          </w:tcPr>
          <w:p w14:paraId="4539D383">
            <w:pPr>
              <w:widowControl/>
              <w:jc w:val="center"/>
              <w:rPr>
                <w:rFonts w:cs="宋体"/>
                <w:kern w:val="0"/>
                <w:sz w:val="24"/>
              </w:rPr>
            </w:pPr>
            <w:r>
              <w:rPr>
                <w:rFonts w:hint="eastAsia" w:cs="宋体"/>
                <w:kern w:val="0"/>
                <w:sz w:val="24"/>
              </w:rPr>
              <w:t>数量</w:t>
            </w:r>
          </w:p>
        </w:tc>
        <w:tc>
          <w:tcPr>
            <w:tcW w:w="3033" w:type="pct"/>
            <w:tcBorders>
              <w:top w:val="single" w:color="auto" w:sz="4" w:space="0"/>
              <w:left w:val="single" w:color="auto" w:sz="4" w:space="0"/>
              <w:bottom w:val="single" w:color="auto" w:sz="4" w:space="0"/>
              <w:right w:val="single" w:color="auto" w:sz="4" w:space="0"/>
            </w:tcBorders>
            <w:vAlign w:val="center"/>
          </w:tcPr>
          <w:p w14:paraId="5A94FB32">
            <w:pPr>
              <w:widowControl/>
              <w:spacing w:line="300" w:lineRule="exact"/>
              <w:jc w:val="center"/>
              <w:rPr>
                <w:rFonts w:cs="宋体"/>
                <w:kern w:val="0"/>
                <w:sz w:val="24"/>
                <w:szCs w:val="24"/>
              </w:rPr>
            </w:pPr>
            <w:r>
              <w:rPr>
                <w:rFonts w:hint="eastAsia" w:cs="宋体"/>
                <w:kern w:val="0"/>
                <w:sz w:val="24"/>
              </w:rPr>
              <w:t>需求条款</w:t>
            </w:r>
          </w:p>
        </w:tc>
      </w:tr>
      <w:tr w14:paraId="0619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19B71F05">
            <w:pPr>
              <w:snapToGrid w:val="0"/>
              <w:spacing w:line="360" w:lineRule="auto"/>
              <w:jc w:val="center"/>
              <w:rPr>
                <w:rFonts w:ascii="宋体" w:hAnsi="宋体" w:cs="宋体"/>
                <w:sz w:val="24"/>
                <w:szCs w:val="24"/>
              </w:rPr>
            </w:pPr>
            <w:r>
              <w:rPr>
                <w:rFonts w:hint="eastAsia" w:ascii="宋体" w:hAnsi="宋体" w:cs="宋体"/>
                <w:sz w:val="24"/>
                <w:szCs w:val="24"/>
              </w:rPr>
              <w:t>1</w:t>
            </w:r>
          </w:p>
        </w:tc>
        <w:tc>
          <w:tcPr>
            <w:tcW w:w="703" w:type="pct"/>
            <w:tcBorders>
              <w:top w:val="single" w:color="auto" w:sz="4" w:space="0"/>
              <w:left w:val="single" w:color="auto" w:sz="4" w:space="0"/>
              <w:bottom w:val="single" w:color="auto" w:sz="4" w:space="0"/>
              <w:right w:val="single" w:color="auto" w:sz="4" w:space="0"/>
            </w:tcBorders>
            <w:vAlign w:val="center"/>
          </w:tcPr>
          <w:p w14:paraId="78A6176B">
            <w:pPr>
              <w:snapToGrid w:val="0"/>
              <w:spacing w:line="360" w:lineRule="auto"/>
              <w:jc w:val="center"/>
              <w:rPr>
                <w:rFonts w:ascii="宋体" w:hAnsi="宋体" w:cs="宋体"/>
                <w:sz w:val="24"/>
                <w:szCs w:val="24"/>
              </w:rPr>
            </w:pPr>
            <w:r>
              <w:rPr>
                <w:rFonts w:hint="eastAsia"/>
                <w:sz w:val="24"/>
              </w:rPr>
              <w:t>▲</w:t>
            </w:r>
            <w:r>
              <w:rPr>
                <w:rFonts w:hint="eastAsia" w:ascii="宋体" w:hAnsi="宋体" w:cs="宋体"/>
                <w:sz w:val="24"/>
                <w:szCs w:val="24"/>
              </w:rPr>
              <w:t>麻醉机（1）</w:t>
            </w:r>
          </w:p>
        </w:tc>
        <w:tc>
          <w:tcPr>
            <w:tcW w:w="389" w:type="pct"/>
            <w:tcBorders>
              <w:top w:val="single" w:color="auto" w:sz="4" w:space="0"/>
              <w:left w:val="single" w:color="auto" w:sz="4" w:space="0"/>
              <w:bottom w:val="single" w:color="auto" w:sz="4" w:space="0"/>
              <w:right w:val="single" w:color="auto" w:sz="4" w:space="0"/>
            </w:tcBorders>
            <w:vAlign w:val="center"/>
          </w:tcPr>
          <w:p w14:paraId="7D077816">
            <w:pPr>
              <w:jc w:val="center"/>
              <w:rPr>
                <w:rFonts w:cs="宋体"/>
                <w:color w:val="000000"/>
                <w:kern w:val="0"/>
                <w:sz w:val="24"/>
                <w:szCs w:val="21"/>
              </w:rPr>
            </w:pPr>
            <w:r>
              <w:rPr>
                <w:rFonts w:hint="eastAsia" w:ascii="宋体" w:hAnsi="宋体" w:cs="宋体"/>
                <w:sz w:val="24"/>
                <w:szCs w:val="24"/>
              </w:rPr>
              <w:t>台</w:t>
            </w:r>
          </w:p>
        </w:tc>
        <w:tc>
          <w:tcPr>
            <w:tcW w:w="438" w:type="pct"/>
            <w:tcBorders>
              <w:top w:val="single" w:color="auto" w:sz="4" w:space="0"/>
              <w:left w:val="single" w:color="auto" w:sz="4" w:space="0"/>
              <w:bottom w:val="single" w:color="auto" w:sz="4" w:space="0"/>
              <w:right w:val="single" w:color="auto" w:sz="4" w:space="0"/>
            </w:tcBorders>
            <w:vAlign w:val="center"/>
          </w:tcPr>
          <w:p w14:paraId="7626B06E">
            <w:pPr>
              <w:snapToGrid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3</w:t>
            </w:r>
          </w:p>
        </w:tc>
        <w:tc>
          <w:tcPr>
            <w:tcW w:w="3033" w:type="pct"/>
            <w:tcBorders>
              <w:top w:val="single" w:color="auto" w:sz="4" w:space="0"/>
              <w:left w:val="single" w:color="auto" w:sz="4" w:space="0"/>
              <w:bottom w:val="single" w:color="auto" w:sz="4" w:space="0"/>
              <w:right w:val="single" w:color="auto" w:sz="4" w:space="0"/>
            </w:tcBorders>
          </w:tcPr>
          <w:p w14:paraId="1C98F54E">
            <w:pPr>
              <w:tabs>
                <w:tab w:val="left" w:pos="312"/>
              </w:tabs>
              <w:snapToGrid w:val="0"/>
              <w:spacing w:line="30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天津市宝坻区中医医院</w:t>
            </w:r>
          </w:p>
          <w:p w14:paraId="34A715CD">
            <w:pPr>
              <w:widowControl w:val="0"/>
              <w:spacing w:line="360" w:lineRule="auto"/>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★一、产品用途：用于对成人、小儿/儿童和新生儿的吸入麻醉及呼吸管理。</w:t>
            </w:r>
          </w:p>
          <w:p w14:paraId="095E12D8">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二、技术参数</w:t>
            </w:r>
            <w:r>
              <w:rPr>
                <w:rFonts w:hint="eastAsia" w:ascii="宋体" w:hAnsi="宋体" w:eastAsia="宋体" w:cs="宋体"/>
                <w:b w:val="0"/>
                <w:bCs w:val="0"/>
                <w:color w:val="auto"/>
                <w:kern w:val="2"/>
                <w:sz w:val="24"/>
                <w:szCs w:val="24"/>
                <w:lang w:val="en-US" w:eastAsia="zh-CN" w:bidi="ar-SA"/>
              </w:rPr>
              <w:tab/>
            </w:r>
          </w:p>
          <w:p w14:paraId="64343F08">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★1.采用气动电控或电动电控呼吸机，全中文操作和显示，屏幕尺寸≥15英寸，彩色电容触摸屏，显示屏可360度旋转，俯仰角度可调节，支持手势操作，可同屏显示波形和呼吸环图。</w:t>
            </w:r>
          </w:p>
          <w:p w14:paraId="64CD1F35">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2.配备锂电子(非铅酸)后备电池，1块电池续航时间≥90分钟。</w:t>
            </w:r>
          </w:p>
          <w:p w14:paraId="138C5E0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3.同屏幕≥4通道波形显示（压力时间波形，流速时间波形，容量时间波形，CO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kern w:val="2"/>
                <w:sz w:val="24"/>
                <w:szCs w:val="24"/>
                <w:lang w:val="en-US" w:eastAsia="zh-CN" w:bidi="ar-SA"/>
              </w:rPr>
              <w:t>或麻醉气体浓度波形）。</w:t>
            </w:r>
          </w:p>
          <w:p w14:paraId="7BF9082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4.配备氧气、空气两气源，具备氧笑联动系统，保证接入氧气和笑气时氧浓度不低于25%，快速充氧范围25-75 L/min。</w:t>
            </w:r>
          </w:p>
          <w:p w14:paraId="34F225FC">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★5.全电子流量计 (可直接设置氧浓度和总流量)，全电子流量计可以设置成总流量模式，也可以设置成单管流量模式。</w:t>
            </w:r>
          </w:p>
          <w:p w14:paraId="3287B9FB">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6.具备备用流量计，具备辅助吸氧流量计，支持直观的适宜低流量麻醉的新鲜气体流量指示工具、具备麻药消耗速度显示和总消耗量统计，具备新鲜气体流量暂停功能，方便吸痰等操作。</w:t>
            </w:r>
          </w:p>
          <w:p w14:paraId="3561731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7.具备高流量给氧功能，流量范围 0-60 L/min可调，氧浓度设置范围21-100%可调。</w:t>
            </w:r>
          </w:p>
          <w:p w14:paraId="6615E0B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8.配备电子喷射式挥发罐，可实现软件调节设置，具备压力、流速和温度补偿</w:t>
            </w:r>
          </w:p>
          <w:p w14:paraId="4EDBD14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9.配备双麻醉罐位，配置一个七氟醚挥发罐，具备压力、流速和温度补偿功能。</w:t>
            </w:r>
          </w:p>
          <w:p w14:paraId="23B39C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10.具备独立状态显示屏，非主机屏幕或拓展屏幕，可显示气源压力等设备关键运行信息。</w:t>
            </w:r>
          </w:p>
          <w:p w14:paraId="7DC8415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11.具备吸入端与呼出端双流量传感器，实现动态潮气量实时自动补偿功能，补偿新鲜气体变化、气体压缩、回路顺应性变化以及小的回路泄漏造成的吸入潮气量和设置潮气量的误差。具备内置第三基准流量传感器，用户可自行校准吸入和呼出端流量传感器。</w:t>
            </w:r>
          </w:p>
          <w:p w14:paraId="7D0E6472">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★12.具有回路整体加温功能，保证回路不受积水影响，保证流量传感器精准及向病人提供温暖气体，避免对呼吸道的刺激。</w:t>
            </w:r>
          </w:p>
          <w:p w14:paraId="1FB2A5BB">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13.配备CO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kern w:val="2"/>
                <w:sz w:val="24"/>
                <w:szCs w:val="24"/>
                <w:lang w:val="en-US" w:eastAsia="zh-CN" w:bidi="ar-SA"/>
              </w:rPr>
              <w:t>旁路功能，在机械通气过程中，更换钠石灰罐无需关停机械通气，可方便直接更换。</w:t>
            </w:r>
          </w:p>
          <w:p w14:paraId="23CAD29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14.除屏幕气体气道压力监测外，一体化回路中具备机械式气道压力表，使于屏幕失效情况下观察患者气满压力。</w:t>
            </w:r>
          </w:p>
          <w:p w14:paraId="043630B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15.提供辅助/控制通气，配备通气模式：VCV、PCV、PCV-VG、电子PEEP、SIMV-VC、SIMV-PC、CPAP/PS、手动通气，支持升级SIMV-VG、APRV、PSV。</w:t>
            </w:r>
          </w:p>
          <w:p w14:paraId="23235783">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★16.具有体外循环(心脏旁路)模式，并可在3种以上通气模式下使用。</w:t>
            </w:r>
          </w:p>
          <w:p w14:paraId="7CA6871D">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17.潮气量设置范围：</w:t>
            </w:r>
          </w:p>
          <w:p w14:paraId="46CE0CF2">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★潮气量设置范围：5ml-1500ml（PCV模式），10ml-1500ml（VCV模式）</w:t>
            </w:r>
          </w:p>
          <w:p w14:paraId="3AC2411D">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潮气量监测范围：0到3000ml</w:t>
            </w:r>
          </w:p>
          <w:p w14:paraId="2B8B03D6">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★呼吸机吸气阀峰值流速：≥160 L/min；</w:t>
            </w:r>
          </w:p>
          <w:p w14:paraId="5843C499">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吸气压力设置范围：5-70 cmH</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kern w:val="2"/>
                <w:sz w:val="24"/>
                <w:szCs w:val="24"/>
                <w:lang w:val="en-US" w:eastAsia="zh-CN" w:bidi="ar-SA"/>
              </w:rPr>
              <w:t>O （PEEP+）；</w:t>
            </w:r>
          </w:p>
          <w:p w14:paraId="62ED91B4">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吸呼比：4:1到1:8</w:t>
            </w:r>
          </w:p>
          <w:p w14:paraId="5897FE46">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呼吸频率：2-100次/分钟</w:t>
            </w:r>
          </w:p>
          <w:p w14:paraId="323890CF">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18.具备肺保护工具：支持两种复张手法——单周期和多周期，支持定时膨肺功能。</w:t>
            </w:r>
          </w:p>
          <w:p w14:paraId="3391DE9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19.具备患者气道驱动压监测，非呼吸机通气驱动压力。</w:t>
            </w:r>
          </w:p>
          <w:p w14:paraId="5F567CF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20.具备自动控制麻醉功能，可直接设置目标呼出麻药浓度和吸入氧浓度。</w:t>
            </w:r>
          </w:p>
          <w:p w14:paraId="7FF6267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21.麻醉机内置插件槽，可直接热插拔插件,插件可在同品牌监护仪和麻醉机之间通用,可配备插件：AG麻醉气体模块、BIS、EtCO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kern w:val="2"/>
                <w:sz w:val="24"/>
                <w:szCs w:val="24"/>
                <w:lang w:val="en-US" w:eastAsia="zh-CN" w:bidi="ar-SA"/>
              </w:rPr>
              <w:t>、NMT，可单独升级EtCO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kern w:val="2"/>
                <w:sz w:val="24"/>
                <w:szCs w:val="24"/>
                <w:lang w:val="en-US" w:eastAsia="zh-CN" w:bidi="ar-SA"/>
              </w:rPr>
              <w:t>插件。</w:t>
            </w:r>
          </w:p>
          <w:p w14:paraId="0BA806E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22.全自动使用前自检：图示化检测，检测失败时给于文字和图示提醒可能出错的原因。可预约定时自检。</w:t>
            </w:r>
          </w:p>
          <w:p w14:paraId="036A6AA2">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★23.二氧化碳吸收器（钠石灰罐）容量≤1500ml，适用于低微流量麻醉应用。</w:t>
            </w:r>
          </w:p>
          <w:p w14:paraId="1A9B33B4">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24.回路部件可以耐受≥134℃高温高压消毒以避免院内交叉感染(包括流量传感器)。</w:t>
            </w:r>
          </w:p>
          <w:p w14:paraId="0B234E5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25.麻醉机可提供标准HL7协议，与院方信息系统实现实时通讯。</w:t>
            </w:r>
          </w:p>
          <w:p w14:paraId="527C796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26.麻醉监护仪的基本功能模块具有心电、呼吸、心率、无创血压、血氧饱和度、脉搏、双通道体温和双通道有创血压的同时监测。</w:t>
            </w:r>
          </w:p>
          <w:p w14:paraId="1FD5FF10">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★27.麻醉监护仪采用模块化插件式设计，主机、显示屏和插件槽一体化设计，主机模块插槽数≥5个（非电池插槽），且模块支持插入监护仪主机任意插槽。</w:t>
            </w:r>
          </w:p>
          <w:p w14:paraId="081BB3E4">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28.麻醉监护仪采用≥18寸彩色液晶触摸屏（电容屏），分辨率≥1280*800，≥10通道波形显示。</w:t>
            </w:r>
          </w:p>
          <w:p w14:paraId="6BE6785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29.基本功能模块支持从监护仪拔出后作为一个独立的监护仪支持病人的无缝转移，插入监护仪模块插槽作为主机模块，可以实现插入监护仪主机的任意插槽，具有独立操作显示屏，屏幕尺寸≥5英寸，内置锂电池供电≥6小时，无风扇设计。</w:t>
            </w:r>
          </w:p>
          <w:p w14:paraId="1D40BEE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30.麻醉监护仪具备血流动力学，药物计算，氧合计算，通气计算和肾功能计算功能。</w:t>
            </w:r>
          </w:p>
          <w:p w14:paraId="106F296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31.支持室上性心动过速和SVCs/min等室上性心律失常分析。</w:t>
            </w:r>
          </w:p>
          <w:p w14:paraId="4B5E451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32.支持升级NFC功能，实现NFC拓展外部设备。</w:t>
            </w:r>
          </w:p>
          <w:p w14:paraId="2E64FE5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33.具备模块升级功能：包括但不限于血流动力学PICCO、脑组织氧监测、脑电双频指数、脑电麻醉深度指数、麻醉气体AG、肌松NMT、呼末二氧化碳监测高级参数。</w:t>
            </w:r>
          </w:p>
          <w:p w14:paraId="46886F0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34.支持升级FloTrac监测功能模块或可实现FloTrac技术单机产品，非漂浮导管热稀释法或无创阻抗法，可通过监测桡动脉压力提供连续心排量（CCO）、每搏量变异（SVV）、实时外周血管阻力（SVR）等监测参数，满足连续血流动力学监测需求。</w:t>
            </w:r>
          </w:p>
          <w:p w14:paraId="3489B35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35.具有报警升级功能，当参数报警经过一定的时间未被处理或伴发了其他报警，就会升级到更高一个级别。</w:t>
            </w:r>
          </w:p>
          <w:p w14:paraId="05CC9BC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36.具有特殊报警音，当监护仪在病人发生致命性参数报警时，发出特殊的报警音进行提示病人处于危急状态，支持根据病人的参数趋势变化，自动推送推荐报警限。</w:t>
            </w:r>
          </w:p>
          <w:p w14:paraId="3C1D674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37.具备参数组合报警功能（并非早期预警评分EWS），可对患者同时多个参数变化给出统一报警提示，预示病人不同生理系统状态改变，提供≥10个预设组合报警，并允许自定义≥6个组合报警。</w:t>
            </w:r>
          </w:p>
          <w:p w14:paraId="6AE3AF3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38.输注管理系统中输注泵单机屏幕尺寸＞3.5寸彩色电容触摸屏，具有药物色彩标识。</w:t>
            </w:r>
          </w:p>
          <w:p w14:paraId="659CCB9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39.麻醉输注管理系统支持输液泵和注射泵自由组合，集中供电，支持镇痛药、化疗药、胰岛素输注，支持TCI模式。</w:t>
            </w:r>
          </w:p>
          <w:p w14:paraId="021FC446">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★40.麻醉输注管理系统内单泵主机自带多功能接口，无需外接辅助设备。</w:t>
            </w:r>
          </w:p>
          <w:p w14:paraId="2DB94CAE">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41.麻醉输注管理系统支持输注射模式全面：需具备速度模式、时间模式、体重模式、梯度模式、序列模式、剂量时间模式、微量模式、间断给药模式、点滴模式（输液泵）；支持联机功能。</w:t>
            </w:r>
          </w:p>
          <w:p w14:paraId="7D21C13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42.麻醉工作系统可通过升级中央站集中连接实现远程控制麻醉机、监护仪、及输注管理系统（包含输液泵和注射泵），支持血压测量、输注速度、输注预置量、快进等参数远程设置及更改。</w:t>
            </w:r>
          </w:p>
          <w:p w14:paraId="285DA6D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43.配置要求</w:t>
            </w:r>
          </w:p>
          <w:p w14:paraId="6241C631">
            <w:pPr>
              <w:keepNext w:val="0"/>
              <w:keepLines w:val="0"/>
              <w:pageBreakBefore w:val="0"/>
              <w:widowControl w:val="0"/>
              <w:kinsoku/>
              <w:wordWrap/>
              <w:overflowPunct/>
              <w:topLinePunct w:val="0"/>
              <w:autoSpaceDE/>
              <w:autoSpaceDN/>
              <w:bidi w:val="0"/>
              <w:adjustRightInd/>
              <w:snapToGrid/>
              <w:spacing w:line="360" w:lineRule="auto"/>
              <w:ind w:leftChars="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1.高端麻醉工作站(每套含麻醉机主机*1+高端插件式麻醉监护仪*1)，负责与医院信息系统进行连接</w:t>
            </w:r>
          </w:p>
          <w:p w14:paraId="117E000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2.每套含麻醉挥发罐*1，配置输注泵专用架3套，</w:t>
            </w:r>
            <w:r>
              <w:rPr>
                <w:rFonts w:hint="eastAsia" w:ascii="宋体" w:hAnsi="宋体" w:eastAsia="宋体" w:cs="宋体"/>
                <w:b w:val="0"/>
                <w:bCs w:val="0"/>
                <w:color w:val="auto"/>
                <w:sz w:val="24"/>
                <w:szCs w:val="24"/>
                <w:highlight w:val="none"/>
              </w:rPr>
              <w:t>含输液信息管理系统*1套（含4通道TCI功能注射泵）</w:t>
            </w:r>
          </w:p>
          <w:p w14:paraId="258AF91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3.每套含AG模块(氧浓度监测)*1，脑电麻醉深度模块*1,NMT模块*1,rS0</w:t>
            </w:r>
            <w:r>
              <w:rPr>
                <w:rFonts w:hint="eastAsia" w:ascii="宋体" w:hAnsi="宋体" w:eastAsia="宋体" w:cs="宋体"/>
                <w:b w:val="0"/>
                <w:bCs w:val="0"/>
                <w:color w:val="auto"/>
                <w:kern w:val="2"/>
                <w:sz w:val="24"/>
                <w:szCs w:val="24"/>
                <w:vertAlign w:val="subscript"/>
                <w:lang w:val="en-US" w:eastAsia="zh-CN" w:bidi="ar-SA"/>
              </w:rPr>
              <w:t>2</w:t>
            </w:r>
            <w:r>
              <w:rPr>
                <w:rFonts w:hint="eastAsia" w:ascii="宋体" w:hAnsi="宋体" w:eastAsia="宋体" w:cs="宋体"/>
                <w:b w:val="0"/>
                <w:bCs w:val="0"/>
                <w:color w:val="auto"/>
                <w:kern w:val="2"/>
                <w:sz w:val="24"/>
                <w:szCs w:val="24"/>
                <w:lang w:val="en-US" w:eastAsia="zh-CN" w:bidi="ar-SA"/>
              </w:rPr>
              <w:t>模块*1</w:t>
            </w:r>
          </w:p>
          <w:p w14:paraId="4E2EEE4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4.脑电麻醉深度电极片*100套</w:t>
            </w:r>
          </w:p>
          <w:p w14:paraId="7DF45509">
            <w:pPr>
              <w:tabs>
                <w:tab w:val="left" w:pos="312"/>
              </w:tabs>
              <w:snapToGrid w:val="0"/>
              <w:spacing w:line="30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5.每套配套附件*1（含成人管路、氧疗鼻导管、皮囊各一个）</w:t>
            </w:r>
          </w:p>
        </w:tc>
      </w:tr>
      <w:tr w14:paraId="789D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75251CDB">
            <w:pPr>
              <w:snapToGrid w:val="0"/>
              <w:spacing w:line="360" w:lineRule="auto"/>
              <w:jc w:val="center"/>
              <w:rPr>
                <w:rFonts w:ascii="宋体" w:hAnsi="宋体" w:cs="宋体"/>
                <w:sz w:val="24"/>
                <w:szCs w:val="24"/>
              </w:rPr>
            </w:pPr>
            <w:r>
              <w:rPr>
                <w:rFonts w:hint="eastAsia" w:ascii="宋体" w:hAnsi="宋体" w:cs="宋体"/>
                <w:sz w:val="24"/>
                <w:szCs w:val="24"/>
              </w:rPr>
              <w:t>2</w:t>
            </w:r>
          </w:p>
        </w:tc>
        <w:tc>
          <w:tcPr>
            <w:tcW w:w="703" w:type="pct"/>
            <w:tcBorders>
              <w:top w:val="single" w:color="auto" w:sz="4" w:space="0"/>
              <w:left w:val="single" w:color="auto" w:sz="4" w:space="0"/>
              <w:bottom w:val="single" w:color="auto" w:sz="4" w:space="0"/>
              <w:right w:val="single" w:color="auto" w:sz="4" w:space="0"/>
            </w:tcBorders>
            <w:vAlign w:val="center"/>
          </w:tcPr>
          <w:p w14:paraId="395E0BFD">
            <w:pPr>
              <w:snapToGrid w:val="0"/>
              <w:spacing w:line="360" w:lineRule="auto"/>
              <w:jc w:val="center"/>
              <w:rPr>
                <w:rFonts w:ascii="宋体" w:hAnsi="宋体" w:cs="宋体"/>
                <w:sz w:val="24"/>
                <w:szCs w:val="24"/>
              </w:rPr>
            </w:pPr>
            <w:r>
              <w:rPr>
                <w:rFonts w:hint="eastAsia" w:ascii="宋体" w:hAnsi="宋体" w:cs="宋体"/>
                <w:sz w:val="24"/>
                <w:szCs w:val="24"/>
              </w:rPr>
              <w:t>麻醉机（2）</w:t>
            </w:r>
          </w:p>
        </w:tc>
        <w:tc>
          <w:tcPr>
            <w:tcW w:w="389" w:type="pct"/>
            <w:tcBorders>
              <w:top w:val="single" w:color="auto" w:sz="4" w:space="0"/>
              <w:left w:val="single" w:color="auto" w:sz="4" w:space="0"/>
              <w:bottom w:val="single" w:color="auto" w:sz="4" w:space="0"/>
              <w:right w:val="single" w:color="auto" w:sz="4" w:space="0"/>
            </w:tcBorders>
            <w:vAlign w:val="center"/>
          </w:tcPr>
          <w:p w14:paraId="1CFED287">
            <w:pPr>
              <w:jc w:val="center"/>
              <w:rPr>
                <w:rFonts w:cs="宋体"/>
                <w:color w:val="000000"/>
                <w:kern w:val="0"/>
                <w:sz w:val="24"/>
                <w:szCs w:val="21"/>
              </w:rPr>
            </w:pPr>
            <w:r>
              <w:rPr>
                <w:rFonts w:hint="eastAsia" w:ascii="宋体" w:hAnsi="宋体" w:cs="宋体"/>
                <w:sz w:val="24"/>
                <w:szCs w:val="24"/>
              </w:rPr>
              <w:t>台</w:t>
            </w:r>
          </w:p>
        </w:tc>
        <w:tc>
          <w:tcPr>
            <w:tcW w:w="438" w:type="pct"/>
            <w:tcBorders>
              <w:top w:val="single" w:color="auto" w:sz="4" w:space="0"/>
              <w:left w:val="single" w:color="auto" w:sz="4" w:space="0"/>
              <w:bottom w:val="single" w:color="auto" w:sz="4" w:space="0"/>
              <w:right w:val="single" w:color="auto" w:sz="4" w:space="0"/>
            </w:tcBorders>
            <w:vAlign w:val="center"/>
          </w:tcPr>
          <w:p w14:paraId="2941C2AC">
            <w:pPr>
              <w:snapToGrid w:val="0"/>
              <w:spacing w:line="360" w:lineRule="auto"/>
              <w:jc w:val="center"/>
              <w:rPr>
                <w:rFonts w:ascii="宋体" w:hAnsi="宋体" w:cs="宋体"/>
                <w:sz w:val="24"/>
                <w:szCs w:val="24"/>
              </w:rPr>
            </w:pPr>
            <w:r>
              <w:rPr>
                <w:rFonts w:hint="eastAsia" w:ascii="宋体" w:hAnsi="宋体" w:cs="宋体"/>
                <w:sz w:val="24"/>
                <w:szCs w:val="24"/>
              </w:rPr>
              <w:t>1</w:t>
            </w:r>
          </w:p>
        </w:tc>
        <w:tc>
          <w:tcPr>
            <w:tcW w:w="3033" w:type="pct"/>
            <w:tcBorders>
              <w:top w:val="single" w:color="auto" w:sz="4" w:space="0"/>
              <w:left w:val="single" w:color="auto" w:sz="4" w:space="0"/>
              <w:bottom w:val="single" w:color="auto" w:sz="4" w:space="0"/>
              <w:right w:val="single" w:color="auto" w:sz="4" w:space="0"/>
            </w:tcBorders>
          </w:tcPr>
          <w:p w14:paraId="48F4DAA8">
            <w:pPr>
              <w:tabs>
                <w:tab w:val="left" w:pos="312"/>
              </w:tabs>
              <w:snapToGrid w:val="0"/>
              <w:spacing w:line="3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天津市静海区医院</w:t>
            </w:r>
          </w:p>
          <w:p w14:paraId="53F8E20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★一、产品用途：用于对成人、儿童/小儿和新生儿的吸入麻醉及呼吸管理</w:t>
            </w:r>
          </w:p>
          <w:p w14:paraId="110FAA0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二、技术参数</w:t>
            </w:r>
            <w:r>
              <w:rPr>
                <w:rFonts w:hint="eastAsia" w:ascii="宋体" w:hAnsi="宋体" w:eastAsia="宋体" w:cs="宋体"/>
                <w:b w:val="0"/>
                <w:bCs w:val="0"/>
                <w:color w:val="auto"/>
                <w:sz w:val="24"/>
                <w:szCs w:val="24"/>
                <w:highlight w:val="none"/>
              </w:rPr>
              <w:tab/>
            </w:r>
          </w:p>
          <w:p w14:paraId="4DD2286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★1.气动电控呼吸机，全中文操作和显示；</w:t>
            </w:r>
          </w:p>
          <w:p w14:paraId="38177C6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2.屏幕尺寸≥18英寸，彩色触摸屏，显示屏可360度旋转，俯仰角度可调节，支持手势操作，可同屏显示波形和呼吸环图，同屏幕≥5通道波形显示；</w:t>
            </w:r>
          </w:p>
          <w:p w14:paraId="74C898B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3.配备氧气、空气两种气源，具备氧笑联动系统，保证接入氧气和笑气时氧浓度≥25%，快速充氧范围25-75L/min；</w:t>
            </w:r>
          </w:p>
          <w:p w14:paraId="3AB6D27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★4.全电子流量计可以设置成总流量模式，也可以设置成单管流量模式；</w:t>
            </w:r>
          </w:p>
          <w:p w14:paraId="62C7F26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5.具备备用流量计，具备辅助吸氧流量计，具备直观的适宜低流量麻醉的新鲜气体流量指示工具，具备麻药消耗速度显示和总消耗量统计，具备新鲜气体流量暂停功能，方便吸痰等操作；</w:t>
            </w:r>
          </w:p>
          <w:p w14:paraId="39609B2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6.具备高流量给氧功能，流量范围0-60L/min，氧浓度设置范围21-100%；</w:t>
            </w:r>
          </w:p>
          <w:p w14:paraId="7751625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7.配备双麻醉罐位，配置七氟醚挥发罐和地氟醚挥发罐，具备压力、流速和温度补偿</w:t>
            </w:r>
          </w:p>
          <w:p w14:paraId="6F436E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8.回路部件可高温高压消毒(包括流量传感器)；</w:t>
            </w:r>
          </w:p>
          <w:p w14:paraId="21A544D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9.具备吸入端与呼出端双流量传感器，实现动态潮气量实时自动补偿功能。具备内置第三基准流量传感器，可自行校准吸入和呼出端流量传感器。</w:t>
            </w:r>
          </w:p>
          <w:p w14:paraId="57D896F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10.具有回路整体加温功能</w:t>
            </w:r>
          </w:p>
          <w:p w14:paraId="10C91AE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11.配备CO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sz w:val="24"/>
                <w:szCs w:val="24"/>
                <w:highlight w:val="none"/>
              </w:rPr>
              <w:t>旁路功能，在机械通气过程中，更换钠石灰罐无需关停机械通气；</w:t>
            </w:r>
          </w:p>
          <w:p w14:paraId="2FBB965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★12.二氧化碳吸收器(钠石灰罐)容量≤1500ml，适用于低微流量麻醉应用</w:t>
            </w:r>
          </w:p>
          <w:p w14:paraId="259C90E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13.提供辅助/控制通气，标配通气模式：VCV、PCV、压力控制容量保证通气（PCV-VG/AUTOFLOW）和SIMV（SIMV-VC、SIMV-PC）、PS模式和高端通气模式SIMV-VG、CPAP/PS、APRV模式；</w:t>
            </w:r>
          </w:p>
          <w:p w14:paraId="5372A1A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14.具有体外循环(心脏旁路)模式，并可在3种以上通气模式下使用。</w:t>
            </w:r>
          </w:p>
          <w:p w14:paraId="27FE94F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15.配备肺保护工具：支持两种复张手法——单周期和多周期，支持定时膨肺功能；</w:t>
            </w:r>
          </w:p>
          <w:p w14:paraId="2837D06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16.潮气量设置范围：</w:t>
            </w:r>
          </w:p>
          <w:p w14:paraId="1045B18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★16.1潮气量设置范围：5ml-1500ml（PCV模式），10ml-1500ml（VCV模式）；</w:t>
            </w:r>
          </w:p>
          <w:p w14:paraId="6516D9C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16.2吸气压力设置范围：5-80cmH</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sz w:val="24"/>
                <w:szCs w:val="24"/>
                <w:highlight w:val="none"/>
              </w:rPr>
              <w:t>O（PEEP+）；</w:t>
            </w:r>
          </w:p>
          <w:p w14:paraId="1D6564A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★16.3峰值流速：≥160 L/min；</w:t>
            </w:r>
          </w:p>
          <w:p w14:paraId="21947BD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16.4呼吸频率：2-100次/分钟</w:t>
            </w:r>
          </w:p>
          <w:p w14:paraId="48C4A8E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★17具备患者气道驱动压监测，非呼吸机通气驱动压力。</w:t>
            </w:r>
          </w:p>
          <w:p w14:paraId="3ECA846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18.具备独立状态显示屏，非主机屏幕或拓展屏幕，可显示气源压力等设备关键运行信息；</w:t>
            </w:r>
          </w:p>
          <w:p w14:paraId="4C655EC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19.麻醉机配备锂电池，支持续航≥90分钟；</w:t>
            </w:r>
          </w:p>
          <w:p w14:paraId="7E6253D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20.麻醉机内置≥3槽位插件槽，可直接热插拔插件，插件可在同品牌监护仪和麻醉机之间通用，配备插件：AG麻醉气体模块、EtCO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sz w:val="24"/>
                <w:szCs w:val="24"/>
                <w:highlight w:val="none"/>
              </w:rPr>
              <w:t>插件、NMT；</w:t>
            </w:r>
          </w:p>
          <w:p w14:paraId="2B1A047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★21.麻醉监护仪具备转运模块，屏幕尺寸≥18英寸，可同时显示≥10道波形，主机插槽数≥6个（非电池插槽），支持拓展AG麻醉气体模块、BIS、EtCO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sz w:val="24"/>
                <w:szCs w:val="24"/>
                <w:highlight w:val="none"/>
              </w:rPr>
              <w:t>插件、NMT、监测模块，支持热插拔；</w:t>
            </w:r>
          </w:p>
          <w:p w14:paraId="1D1AF18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22.麻醉监护仪支持监测参数：心电，呼吸，心率，脉率，无创血压，血氧饱和度，双通道体温和双通道有创血压，且双通道体温和有创血压可同时监测，提供实现以上监测功能的所有附件。</w:t>
            </w:r>
          </w:p>
          <w:p w14:paraId="715866A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23.监护仪内置锂电池供电≥2小时；</w:t>
            </w:r>
          </w:p>
          <w:p w14:paraId="6A25BEF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24.监护仪基本功能模块可以从主体监护仪拔出后作为一个独立的监护仪支持病人的无缝转移，插入监护仪主机任意插槽作为主机模块，具有独立操作显示屏，屏幕尺寸≥5寸，内置锂电池供电≥6小时，采用无风扇设计；</w:t>
            </w:r>
          </w:p>
          <w:p w14:paraId="51AAF99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25.具备参数组合报警功能，可对患者同时多个参数变化给出统一报警提示，预示病人不同生理系统状态改变，提供≥10个预设组合报警，同时激活≥6个组合报警功能可选；</w:t>
            </w:r>
          </w:p>
          <w:p w14:paraId="2A9AD30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26.麻醉工作站可提供标准HL7协议，与院方信息实现实时通讯，数据传输，数据抓取等功能。</w:t>
            </w:r>
          </w:p>
          <w:p w14:paraId="3B5F274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27.具备废气排污装置；</w:t>
            </w:r>
          </w:p>
          <w:p w14:paraId="52B9886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28.设备使用年限≥10年（提供出厂铭牌或说明书）</w:t>
            </w:r>
          </w:p>
          <w:p w14:paraId="7828D93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29.出厂铭牌标注的生产日期不得早于供货日期90日（提供承诺书）。</w:t>
            </w:r>
          </w:p>
          <w:p w14:paraId="0A9B389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三、配置要求</w:t>
            </w:r>
          </w:p>
          <w:p w14:paraId="710BFA7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1.高端麻醉工作站(含麻醉机主机*1套+高端插件式麻醉监护仪*1套)</w:t>
            </w:r>
          </w:p>
          <w:p w14:paraId="1E01BBE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2.含七氟醚、地氟醚麻醉挥发罐*1套</w:t>
            </w:r>
          </w:p>
          <w:p w14:paraId="71DA63C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3.含输液信息管理系统*1套（含4通道TCI功能注射泵）</w:t>
            </w:r>
          </w:p>
          <w:p w14:paraId="1E71969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4.含AG模块(氧浓度监测)*1套，NMT模块*1套， EtCO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b w:val="0"/>
                <w:bCs w:val="0"/>
                <w:color w:val="auto"/>
                <w:sz w:val="24"/>
                <w:szCs w:val="24"/>
                <w:highlight w:val="none"/>
              </w:rPr>
              <w:t>*1套</w:t>
            </w:r>
          </w:p>
          <w:p w14:paraId="7EDC566D">
            <w:pPr>
              <w:tabs>
                <w:tab w:val="left" w:pos="312"/>
              </w:tabs>
              <w:snapToGrid w:val="0"/>
              <w:spacing w:line="3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5.配套附件（成人管路、氧疗鼻导管、皮囊各一个）*1套</w:t>
            </w:r>
          </w:p>
        </w:tc>
      </w:tr>
      <w:tr w14:paraId="1D96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4DB47A3F">
            <w:pPr>
              <w:snapToGrid w:val="0"/>
              <w:spacing w:line="360" w:lineRule="auto"/>
              <w:jc w:val="center"/>
              <w:rPr>
                <w:rFonts w:ascii="宋体" w:hAnsi="宋体" w:cs="宋体"/>
                <w:sz w:val="24"/>
                <w:szCs w:val="24"/>
              </w:rPr>
            </w:pPr>
            <w:r>
              <w:rPr>
                <w:rFonts w:hint="eastAsia" w:ascii="宋体" w:hAnsi="宋体" w:cs="宋体"/>
                <w:sz w:val="24"/>
                <w:szCs w:val="24"/>
              </w:rPr>
              <w:t>3</w:t>
            </w:r>
          </w:p>
        </w:tc>
        <w:tc>
          <w:tcPr>
            <w:tcW w:w="703" w:type="pct"/>
            <w:tcBorders>
              <w:top w:val="single" w:color="auto" w:sz="4" w:space="0"/>
              <w:left w:val="single" w:color="auto" w:sz="4" w:space="0"/>
              <w:bottom w:val="single" w:color="auto" w:sz="4" w:space="0"/>
              <w:right w:val="single" w:color="auto" w:sz="4" w:space="0"/>
            </w:tcBorders>
            <w:vAlign w:val="center"/>
          </w:tcPr>
          <w:p w14:paraId="2C2B06D9">
            <w:pPr>
              <w:snapToGrid w:val="0"/>
              <w:spacing w:line="360" w:lineRule="auto"/>
              <w:jc w:val="center"/>
              <w:rPr>
                <w:rFonts w:ascii="宋体" w:hAnsi="宋体" w:cs="宋体"/>
                <w:sz w:val="24"/>
                <w:szCs w:val="24"/>
              </w:rPr>
            </w:pPr>
            <w:r>
              <w:rPr>
                <w:rFonts w:hint="eastAsia" w:ascii="宋体" w:hAnsi="宋体" w:cs="宋体"/>
                <w:sz w:val="24"/>
                <w:szCs w:val="24"/>
              </w:rPr>
              <w:t>麻醉机（3）</w:t>
            </w:r>
          </w:p>
        </w:tc>
        <w:tc>
          <w:tcPr>
            <w:tcW w:w="389" w:type="pct"/>
            <w:tcBorders>
              <w:top w:val="single" w:color="auto" w:sz="4" w:space="0"/>
              <w:left w:val="single" w:color="auto" w:sz="4" w:space="0"/>
              <w:bottom w:val="single" w:color="auto" w:sz="4" w:space="0"/>
              <w:right w:val="single" w:color="auto" w:sz="4" w:space="0"/>
            </w:tcBorders>
            <w:vAlign w:val="center"/>
          </w:tcPr>
          <w:p w14:paraId="294CBF71">
            <w:pPr>
              <w:jc w:val="center"/>
              <w:rPr>
                <w:rFonts w:cs="宋体"/>
                <w:color w:val="000000"/>
                <w:kern w:val="0"/>
                <w:sz w:val="24"/>
                <w:szCs w:val="21"/>
              </w:rPr>
            </w:pPr>
            <w:r>
              <w:rPr>
                <w:rFonts w:hint="eastAsia" w:ascii="宋体" w:hAnsi="宋体" w:cs="宋体"/>
                <w:sz w:val="24"/>
                <w:szCs w:val="24"/>
              </w:rPr>
              <w:t>台</w:t>
            </w:r>
          </w:p>
        </w:tc>
        <w:tc>
          <w:tcPr>
            <w:tcW w:w="438" w:type="pct"/>
            <w:tcBorders>
              <w:top w:val="single" w:color="auto" w:sz="4" w:space="0"/>
              <w:left w:val="single" w:color="auto" w:sz="4" w:space="0"/>
              <w:bottom w:val="single" w:color="auto" w:sz="4" w:space="0"/>
              <w:right w:val="single" w:color="auto" w:sz="4" w:space="0"/>
            </w:tcBorders>
            <w:vAlign w:val="center"/>
          </w:tcPr>
          <w:p w14:paraId="1ADC50CA">
            <w:pPr>
              <w:snapToGrid w:val="0"/>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4</w:t>
            </w:r>
          </w:p>
        </w:tc>
        <w:tc>
          <w:tcPr>
            <w:tcW w:w="3033" w:type="pct"/>
            <w:tcBorders>
              <w:top w:val="single" w:color="auto" w:sz="4" w:space="0"/>
              <w:left w:val="single" w:color="auto" w:sz="4" w:space="0"/>
              <w:bottom w:val="single" w:color="auto" w:sz="4" w:space="0"/>
              <w:right w:val="single" w:color="auto" w:sz="4" w:space="0"/>
            </w:tcBorders>
          </w:tcPr>
          <w:p w14:paraId="25C3BCAC">
            <w:pPr>
              <w:tabs>
                <w:tab w:val="left" w:pos="312"/>
              </w:tabs>
              <w:snapToGrid w:val="0"/>
              <w:spacing w:line="30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天津市静海区医院</w:t>
            </w:r>
          </w:p>
          <w:p w14:paraId="61C55B8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★一、产品用途：用于成人、小儿/儿童和新生儿的全身麻醉及呼吸管理。</w:t>
            </w:r>
          </w:p>
          <w:p w14:paraId="448EC58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二、技术参数</w:t>
            </w:r>
            <w:r>
              <w:rPr>
                <w:rFonts w:hint="eastAsia" w:ascii="宋体" w:hAnsi="宋体" w:eastAsia="宋体" w:cs="宋体"/>
                <w:color w:val="auto"/>
                <w:sz w:val="24"/>
                <w:szCs w:val="24"/>
                <w:lang w:val="en-US" w:eastAsia="zh-CN"/>
              </w:rPr>
              <w:tab/>
            </w:r>
          </w:p>
          <w:p w14:paraId="24BB1016">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1.气动电控或电动电控呼吸机，全中文操作和显示；</w:t>
            </w:r>
          </w:p>
          <w:p w14:paraId="689C7F2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2.屏幕尺寸≥15英寸，彩色触摸屏，显示屏可360度旋转，俯仰角度可调节，支持手势操作，可同屏显示波形和呼吸环图，同屏幕≥4通道波形显示；</w:t>
            </w:r>
          </w:p>
          <w:p w14:paraId="417DB21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3.标配氧气、空气两气源，具备氧笑联动系统，保证接入氧气和笑气时氧浓度不低于25%，快速充氧范围25-75 L/min；</w:t>
            </w:r>
          </w:p>
          <w:p w14:paraId="6D56678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★4.全电子流量计可直接设置氧浓度和总流量；全电子流量计可以设置成总流量模式，也可以设置成单管流量模式；</w:t>
            </w:r>
          </w:p>
          <w:p w14:paraId="4AB551D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5.具备备用流量计，具备辅助吸氧流量计，具备直观的适宜低流量麻醉的新鲜气体流量指示工具，具备麻药消耗速度显示和总消耗量统计，具备新鲜气体流量暂停功能，方便吸痰等操作；</w:t>
            </w:r>
          </w:p>
          <w:p w14:paraId="432DB348">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6.具备高流量给氧功能，流量范围 0-60 L/min，氧浓度设置范围21-100%；</w:t>
            </w:r>
          </w:p>
          <w:p w14:paraId="1D4058A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7.配备双麻醉罐位，配置七氟醚挥发罐，具备压力、流速和温度补偿功能；</w:t>
            </w:r>
          </w:p>
          <w:p w14:paraId="7E27D45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8.回路部件可以耐受134℃高温高压消毒(包括流量传感器)；</w:t>
            </w:r>
          </w:p>
          <w:p w14:paraId="2BD4B93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9.具备吸入端与呼出端双流量传感器，实现动态潮气量实时自动补偿功能。具备内置第三基准流量传感器，可自行校准吸入和呼出端流量传感器。</w:t>
            </w:r>
          </w:p>
          <w:p w14:paraId="33E7AB9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10.具有回路整体加温功能，保证回路无积水；</w:t>
            </w:r>
          </w:p>
          <w:p w14:paraId="1835C78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11.配备CO</w:t>
            </w:r>
            <w:r>
              <w:rPr>
                <w:rFonts w:hint="eastAsia" w:ascii="宋体" w:hAnsi="宋体" w:eastAsia="宋体" w:cs="宋体"/>
                <w:color w:val="auto"/>
                <w:sz w:val="24"/>
                <w:szCs w:val="24"/>
                <w:vertAlign w:val="subscript"/>
                <w:lang w:val="en-US" w:eastAsia="zh-CN"/>
              </w:rPr>
              <w:t>2</w:t>
            </w:r>
            <w:r>
              <w:rPr>
                <w:rFonts w:hint="eastAsia" w:ascii="宋体" w:hAnsi="宋体" w:eastAsia="宋体" w:cs="宋体"/>
                <w:color w:val="auto"/>
                <w:sz w:val="24"/>
                <w:szCs w:val="24"/>
                <w:lang w:val="en-US" w:eastAsia="zh-CN"/>
              </w:rPr>
              <w:t>旁路功能，在机械通气过程中，更换钠石灰罐无需关停机械通气；</w:t>
            </w:r>
          </w:p>
          <w:p w14:paraId="48A3B17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★12.二氧化碳吸收器(钠石灰罐)容量≤1500ml，适用于低微流量麻醉应用；</w:t>
            </w:r>
          </w:p>
          <w:p w14:paraId="48B9D4F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13.提供辅助/控制通气，标配通气模式：VCV、PCV、压力控制容量保证通气（PCV-VG/AUTOFLOW）和SIMV（SIMV-VC、SIMV-PC）、PS模式，和高端通气模式SIMV-VG、CPAP/PS模式</w:t>
            </w:r>
          </w:p>
          <w:p w14:paraId="56CD97C5">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14.具有体外循环(心脏旁路)模式，并可在3种以上通气模式下使用。</w:t>
            </w:r>
          </w:p>
          <w:p w14:paraId="6FEE516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15.标配肺保护工具：支持两种复张手法——单周期和多周期，支持定时膨肺功能；</w:t>
            </w:r>
          </w:p>
          <w:p w14:paraId="317D99D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16.潮气量设置范围：</w:t>
            </w:r>
          </w:p>
          <w:p w14:paraId="04E1E04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16.1潮气量设置范围：5ml-1500ml（PCV模式），10ml-1500ml（VCV模式）；</w:t>
            </w:r>
          </w:p>
          <w:p w14:paraId="38E3A97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16.2吸气压力设置范围：5-80 cmH</w:t>
            </w:r>
            <w:r>
              <w:rPr>
                <w:rFonts w:hint="eastAsia" w:ascii="宋体" w:hAnsi="宋体" w:eastAsia="宋体" w:cs="宋体"/>
                <w:color w:val="auto"/>
                <w:sz w:val="24"/>
                <w:szCs w:val="24"/>
                <w:vertAlign w:val="subscript"/>
                <w:lang w:val="en-US" w:eastAsia="zh-CN"/>
              </w:rPr>
              <w:t>2</w:t>
            </w:r>
            <w:r>
              <w:rPr>
                <w:rFonts w:hint="eastAsia" w:ascii="宋体" w:hAnsi="宋体" w:eastAsia="宋体" w:cs="宋体"/>
                <w:color w:val="auto"/>
                <w:sz w:val="24"/>
                <w:szCs w:val="24"/>
                <w:lang w:val="en-US" w:eastAsia="zh-CN"/>
              </w:rPr>
              <w:t>O （PEEP+）；</w:t>
            </w:r>
          </w:p>
          <w:p w14:paraId="2A83EF18">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★16.3峰值流速：≥160 L/min；</w:t>
            </w:r>
          </w:p>
          <w:p w14:paraId="54F73E4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16.4呼吸频率：3-100次/分钟；</w:t>
            </w:r>
          </w:p>
          <w:p w14:paraId="09EC798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17.麻醉机配备锂电池，支持续航≥90分钟；</w:t>
            </w:r>
          </w:p>
          <w:p w14:paraId="6186660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18.麻醉机内置≥3槽位插件槽，可直接热插拔插件，插件可在同品牌监护仪和麻醉机之间通用，配备插件：AG麻醉气体模块和EtCO</w:t>
            </w:r>
            <w:r>
              <w:rPr>
                <w:rFonts w:hint="eastAsia" w:ascii="宋体" w:hAnsi="宋体" w:eastAsia="宋体" w:cs="宋体"/>
                <w:sz w:val="24"/>
                <w:szCs w:val="24"/>
                <w:vertAlign w:val="subscript"/>
              </w:rPr>
              <w:t>2</w:t>
            </w:r>
            <w:r>
              <w:rPr>
                <w:rFonts w:hint="eastAsia" w:ascii="宋体" w:hAnsi="宋体" w:eastAsia="宋体" w:cs="宋体"/>
                <w:color w:val="auto"/>
                <w:sz w:val="24"/>
                <w:szCs w:val="24"/>
                <w:lang w:val="en-US" w:eastAsia="zh-CN"/>
              </w:rPr>
              <w:t>插件模块；</w:t>
            </w:r>
          </w:p>
          <w:p w14:paraId="230BEA68">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19.麻醉工作站可提供标准HL7协议，与院方信息实现实时通讯，数据传输，数据抓取等功能；</w:t>
            </w:r>
          </w:p>
          <w:p w14:paraId="0FD755A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20.设备使用年限≥10年（提供出厂铭牌或说明书）</w:t>
            </w:r>
          </w:p>
          <w:p w14:paraId="0F6793E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21.出厂铭牌标注的生产日期不得早于供货日期90日（提供承诺书）。</w:t>
            </w:r>
          </w:p>
          <w:p w14:paraId="2F85B08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三、配置要求</w:t>
            </w:r>
          </w:p>
          <w:p w14:paraId="37BAD76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1.麻醉机主机*1套</w:t>
            </w:r>
          </w:p>
          <w:p w14:paraId="24315560">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2.七氟醚麻醉挥发罐*1套</w:t>
            </w:r>
          </w:p>
          <w:p w14:paraId="4CB6F1E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3.AG模块(氧浓度监测)*1套，EtCO</w:t>
            </w:r>
            <w:r>
              <w:rPr>
                <w:rFonts w:hint="eastAsia" w:ascii="宋体" w:hAnsi="宋体" w:eastAsia="宋体" w:cs="宋体"/>
                <w:sz w:val="24"/>
                <w:szCs w:val="24"/>
                <w:vertAlign w:val="subscript"/>
              </w:rPr>
              <w:t>2</w:t>
            </w:r>
            <w:r>
              <w:rPr>
                <w:rFonts w:hint="eastAsia" w:ascii="宋体" w:hAnsi="宋体" w:eastAsia="宋体" w:cs="宋体"/>
                <w:color w:val="auto"/>
                <w:sz w:val="24"/>
                <w:szCs w:val="24"/>
                <w:lang w:val="en-US" w:eastAsia="zh-CN"/>
              </w:rPr>
              <w:t>*1套</w:t>
            </w:r>
          </w:p>
          <w:p w14:paraId="53535646">
            <w:pPr>
              <w:tabs>
                <w:tab w:val="left" w:pos="312"/>
              </w:tabs>
              <w:snapToGrid w:val="0"/>
              <w:spacing w:line="300" w:lineRule="exact"/>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lang w:val="en-US" w:eastAsia="zh-CN"/>
              </w:rPr>
              <w:t>4.配套附件（成人管路、氧疗鼻导管、皮囊各一个）*1套</w:t>
            </w:r>
          </w:p>
        </w:tc>
      </w:tr>
    </w:tbl>
    <w:p w14:paraId="176EFA02">
      <w:pPr>
        <w:spacing w:line="360" w:lineRule="auto"/>
        <w:ind w:firstLine="480" w:firstLineChars="200"/>
        <w:outlineLvl w:val="0"/>
        <w:rPr>
          <w:sz w:val="24"/>
        </w:rPr>
      </w:pPr>
      <w:r>
        <w:rPr>
          <w:rFonts w:hint="eastAsia"/>
          <w:sz w:val="24"/>
        </w:rPr>
        <w:t>加注“▲”号的产品为核心产品（如未明确核心产品，则视为全部产品均为核心产品），任意一种核心产品为同一品牌时，按照第三部分第32.4条款执行。</w:t>
      </w:r>
    </w:p>
    <w:p w14:paraId="6F5F9254">
      <w:pPr>
        <w:spacing w:line="360" w:lineRule="auto"/>
        <w:ind w:firstLine="480" w:firstLineChars="200"/>
        <w:outlineLvl w:val="0"/>
        <w:rPr>
          <w:sz w:val="24"/>
        </w:rPr>
      </w:pPr>
    </w:p>
    <w:p w14:paraId="52771A08">
      <w:pPr>
        <w:spacing w:line="360" w:lineRule="auto"/>
        <w:ind w:firstLine="480" w:firstLineChars="200"/>
        <w:outlineLvl w:val="0"/>
        <w:rPr>
          <w:sz w:val="24"/>
        </w:rPr>
      </w:pPr>
    </w:p>
    <w:p w14:paraId="261CF012">
      <w:pPr>
        <w:spacing w:line="360" w:lineRule="auto"/>
        <w:ind w:firstLine="480" w:firstLineChars="200"/>
        <w:outlineLvl w:val="0"/>
        <w:rPr>
          <w:rFonts w:hint="eastAsia"/>
          <w:sz w:val="24"/>
        </w:rPr>
      </w:pPr>
      <w:r>
        <w:rPr>
          <w:sz w:val="24"/>
        </w:rPr>
        <w:t>加注“</w:t>
      </w:r>
      <w:r>
        <w:rPr>
          <w:rFonts w:hint="eastAsia" w:ascii="宋体" w:hAnsi="宋体" w:cs="宋体"/>
          <w:sz w:val="24"/>
        </w:rPr>
        <w:t>★</w:t>
      </w:r>
      <w:r>
        <w:rPr>
          <w:sz w:val="24"/>
        </w:rPr>
        <w:t>”号条款为实质性条款，不得出现负偏离，发生负偏离即做无效标处理。</w:t>
      </w:r>
    </w:p>
    <w:p w14:paraId="3AE36DE6">
      <w:pPr>
        <w:spacing w:line="360" w:lineRule="auto"/>
        <w:ind w:firstLine="480" w:firstLineChars="200"/>
        <w:outlineLvl w:val="0"/>
        <w:rPr>
          <w:sz w:val="24"/>
        </w:rPr>
      </w:pPr>
      <w:r>
        <w:rPr>
          <w:rFonts w:hint="eastAsia"/>
          <w:sz w:val="24"/>
        </w:rPr>
        <w:t>加注“▲”号的产品为核心产品（如项目需求书中未明确核心产品，则视为全部产品均为核心产品）。</w:t>
      </w:r>
    </w:p>
    <w:p w14:paraId="5673A2C1">
      <w:pPr>
        <w:spacing w:line="360" w:lineRule="auto"/>
        <w:ind w:firstLine="482" w:firstLineChars="200"/>
        <w:rPr>
          <w:rFonts w:hint="eastAsia"/>
          <w:b/>
          <w:sz w:val="24"/>
        </w:rPr>
      </w:pPr>
      <w:r>
        <w:rPr>
          <w:rFonts w:hint="eastAsia"/>
          <w:b/>
          <w:sz w:val="24"/>
        </w:rPr>
        <w:t>五、</w:t>
      </w:r>
      <w:r>
        <w:rPr>
          <w:b/>
          <w:sz w:val="24"/>
        </w:rPr>
        <w:t>商务要求</w:t>
      </w:r>
    </w:p>
    <w:p w14:paraId="6BB2AD92">
      <w:pPr>
        <w:spacing w:line="360" w:lineRule="auto"/>
        <w:ind w:firstLine="480" w:firstLineChars="200"/>
        <w:rPr>
          <w:rFonts w:hint="eastAsia"/>
          <w:sz w:val="24"/>
        </w:rPr>
      </w:pPr>
      <w:r>
        <w:rPr>
          <w:rFonts w:hint="eastAsia"/>
          <w:sz w:val="24"/>
        </w:rPr>
        <w:t>1. 心电监护中央站（1）、心电监护中央站（2）：提供所投产品原厂整机(含导联线等易耗损件)质保≥5年；监护仪（3）：提供所投产品8年质保；保修期内免费更换零配件，7×24小时技术响应，48小时内维修工程师到达维修现场。保修期自验收合格之日起计算。</w:t>
      </w:r>
    </w:p>
    <w:p w14:paraId="56C380DC">
      <w:pPr>
        <w:spacing w:line="360" w:lineRule="auto"/>
        <w:ind w:firstLine="480" w:firstLineChars="200"/>
        <w:rPr>
          <w:rFonts w:hint="eastAsia"/>
          <w:sz w:val="24"/>
        </w:rPr>
      </w:pPr>
      <w:r>
        <w:rPr>
          <w:rFonts w:hint="eastAsia"/>
          <w:sz w:val="24"/>
        </w:rPr>
        <w:t>2. 合同履行期限：签订合同之日起30日内到货并安装调试完毕。</w:t>
      </w:r>
    </w:p>
    <w:p w14:paraId="3A7853F6">
      <w:pPr>
        <w:spacing w:line="360" w:lineRule="auto"/>
        <w:ind w:firstLine="480" w:firstLineChars="200"/>
        <w:outlineLvl w:val="0"/>
        <w:rPr>
          <w:rFonts w:hint="eastAsia"/>
          <w:sz w:val="24"/>
        </w:rPr>
      </w:pPr>
      <w:r>
        <w:rPr>
          <w:rFonts w:hint="eastAsia"/>
          <w:sz w:val="24"/>
        </w:rPr>
        <w:t>3.付款方式：签订合同后15个工作日内预付合同总额的30%，货到现场后15个工作日内支付合同总额的60%，安装、调试完毕所有设备使用无质量问题，验收合格后15个工作日内支付合同总额的10%（特殊情况以合同为准）</w:t>
      </w:r>
      <w:r>
        <w:rPr>
          <w:rFonts w:hint="eastAsia"/>
          <w:b/>
          <w:bCs/>
          <w:color w:val="FF0000"/>
          <w:sz w:val="24"/>
        </w:rPr>
        <w:t>。</w:t>
      </w:r>
    </w:p>
    <w:p w14:paraId="657FF354">
      <w:pPr>
        <w:autoSpaceDE w:val="0"/>
        <w:autoSpaceDN w:val="0"/>
        <w:spacing w:line="360" w:lineRule="auto"/>
        <w:ind w:firstLine="482" w:firstLineChars="200"/>
        <w:rPr>
          <w:b/>
          <w:sz w:val="24"/>
        </w:rPr>
      </w:pPr>
      <w:r>
        <w:rPr>
          <w:rFonts w:hint="eastAsia"/>
          <w:b/>
          <w:sz w:val="24"/>
        </w:rPr>
        <w:t>六、验收标准</w:t>
      </w:r>
    </w:p>
    <w:p w14:paraId="3135D562">
      <w:pPr>
        <w:autoSpaceDE w:val="0"/>
        <w:autoSpaceDN w:val="0"/>
        <w:adjustRightInd w:val="0"/>
        <w:spacing w:line="360" w:lineRule="auto"/>
        <w:ind w:firstLine="480" w:firstLineChars="20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1F76FB62">
      <w:pPr>
        <w:autoSpaceDE w:val="0"/>
        <w:autoSpaceDN w:val="0"/>
        <w:adjustRightInd w:val="0"/>
        <w:spacing w:line="360" w:lineRule="auto"/>
        <w:ind w:firstLine="480" w:firstLineChars="200"/>
        <w:rPr>
          <w:color w:val="000000"/>
          <w:sz w:val="24"/>
        </w:rPr>
      </w:pPr>
      <w:r>
        <w:rPr>
          <w:rFonts w:hint="eastAsia"/>
          <w:color w:val="000000"/>
          <w:sz w:val="24"/>
        </w:rPr>
        <w:t>1.初步验收：货物到达交货地点后，采购人及中标供应商双方应对生产的成品货物的数量及外观质量进行初步验收。若货物发生缺、损或与合同约定不符时，中标供应商应负责补足或更换，并由双方确认。</w:t>
      </w:r>
    </w:p>
    <w:p w14:paraId="1139CF31">
      <w:pPr>
        <w:spacing w:line="360" w:lineRule="auto"/>
        <w:ind w:firstLine="480" w:firstLineChars="200"/>
        <w:rPr>
          <w:color w:val="FF0000"/>
          <w:sz w:val="24"/>
        </w:rPr>
      </w:pPr>
      <w:r>
        <w:rPr>
          <w:rFonts w:hint="eastAsia"/>
          <w:color w:val="000000"/>
          <w:sz w:val="24"/>
        </w:rPr>
        <w:t>2.最终验收：中标供应商完成货物的调试和对采购人指定操作人员的培训后，无明显技术问题和产品故障的,双方依照合同中约定的质量要求对货物进行最终验收，并签署最终验收单。</w:t>
      </w:r>
    </w:p>
    <w:p w14:paraId="0E12B174">
      <w:pPr>
        <w:spacing w:line="360" w:lineRule="auto"/>
        <w:ind w:firstLine="482" w:firstLineChars="200"/>
        <w:outlineLvl w:val="0"/>
        <w:rPr>
          <w:rFonts w:hint="eastAsia"/>
          <w:b/>
          <w:sz w:val="24"/>
        </w:rPr>
      </w:pPr>
      <w:r>
        <w:rPr>
          <w:rFonts w:hint="eastAsia"/>
          <w:b/>
          <w:sz w:val="24"/>
        </w:rPr>
        <w:t>七、其他要求</w:t>
      </w:r>
    </w:p>
    <w:p w14:paraId="78F0AE84">
      <w:pPr>
        <w:autoSpaceDE w:val="0"/>
        <w:autoSpaceDN w:val="0"/>
        <w:adjustRightInd w:val="0"/>
        <w:spacing w:line="360" w:lineRule="auto"/>
        <w:ind w:firstLine="480" w:firstLineChars="200"/>
        <w:rPr>
          <w:color w:val="000000"/>
          <w:sz w:val="24"/>
        </w:rPr>
      </w:pPr>
      <w:r>
        <w:rPr>
          <w:rFonts w:hint="eastAsia" w:cs="宋体"/>
          <w:kern w:val="0"/>
          <w:sz w:val="24"/>
          <w:szCs w:val="24"/>
        </w:rPr>
        <w:t>★</w:t>
      </w:r>
      <w:r>
        <w:rPr>
          <w:rFonts w:hint="eastAsia"/>
          <w:color w:val="000000"/>
          <w:sz w:val="24"/>
        </w:rPr>
        <w:t>（一）报价要求</w:t>
      </w:r>
    </w:p>
    <w:p w14:paraId="48EDC345">
      <w:pPr>
        <w:autoSpaceDE w:val="0"/>
        <w:autoSpaceDN w:val="0"/>
        <w:adjustRightInd w:val="0"/>
        <w:spacing w:line="360" w:lineRule="auto"/>
        <w:ind w:firstLine="480" w:firstLineChars="200"/>
        <w:rPr>
          <w:color w:val="000000"/>
          <w:sz w:val="24"/>
        </w:rPr>
      </w:pPr>
      <w:r>
        <w:rPr>
          <w:rFonts w:hint="eastAsia"/>
          <w:color w:val="000000"/>
          <w:sz w:val="24"/>
        </w:rPr>
        <w:t>1. 投标报价以人民币填列。</w:t>
      </w:r>
    </w:p>
    <w:p w14:paraId="42458C45">
      <w:pPr>
        <w:autoSpaceDE w:val="0"/>
        <w:autoSpaceDN w:val="0"/>
        <w:adjustRightInd w:val="0"/>
        <w:spacing w:line="360" w:lineRule="auto"/>
        <w:ind w:firstLine="480" w:firstLineChars="200"/>
        <w:rPr>
          <w:color w:val="000000"/>
          <w:sz w:val="24"/>
        </w:rPr>
      </w:pPr>
      <w:r>
        <w:rPr>
          <w:rFonts w:hint="eastAsia"/>
          <w:color w:val="000000"/>
          <w:sz w:val="24"/>
        </w:rPr>
        <w:t>2. 投标人的报价应包括：设备主机及附件货款、信息化接口连接相关费用、运输费、运输保险费、装卸费、安装调试费、培训费、利润及税金等为完成招标文件规定的全部要求所需的一切费用。投标人所报价格为货到现场安装调试完成的最终优惠价格。</w:t>
      </w:r>
    </w:p>
    <w:p w14:paraId="10E36B59">
      <w:pPr>
        <w:spacing w:line="360" w:lineRule="auto"/>
        <w:ind w:firstLine="480" w:firstLineChars="200"/>
        <w:outlineLvl w:val="0"/>
        <w:rPr>
          <w:rFonts w:hint="eastAsia"/>
          <w:color w:val="000000"/>
          <w:sz w:val="24"/>
        </w:rPr>
      </w:pPr>
      <w:r>
        <w:rPr>
          <w:rFonts w:hint="eastAsia"/>
          <w:color w:val="000000"/>
          <w:sz w:val="24"/>
        </w:rPr>
        <w:t>3. 验收及相关费用由投标人负责。</w:t>
      </w:r>
    </w:p>
    <w:p w14:paraId="3954F87A">
      <w:pPr>
        <w:autoSpaceDE w:val="0"/>
        <w:autoSpaceDN w:val="0"/>
        <w:adjustRightInd w:val="0"/>
        <w:spacing w:line="360" w:lineRule="auto"/>
        <w:ind w:firstLine="480" w:firstLineChars="200"/>
        <w:rPr>
          <w:sz w:val="24"/>
        </w:rPr>
      </w:pPr>
      <w:r>
        <w:rPr>
          <w:rFonts w:hint="eastAsia"/>
          <w:sz w:val="24"/>
        </w:rPr>
        <w:t>（二）服务要求</w:t>
      </w:r>
    </w:p>
    <w:p w14:paraId="293E6EF5">
      <w:pPr>
        <w:autoSpaceDE w:val="0"/>
        <w:autoSpaceDN w:val="0"/>
        <w:adjustRightInd w:val="0"/>
        <w:spacing w:line="360" w:lineRule="auto"/>
        <w:ind w:firstLine="480" w:firstLineChars="200"/>
        <w:rPr>
          <w:sz w:val="24"/>
        </w:rPr>
      </w:pPr>
      <w:r>
        <w:rPr>
          <w:rFonts w:hint="eastAsia"/>
          <w:sz w:val="24"/>
          <w:lang w:val="en-US" w:eastAsia="zh-CN"/>
        </w:rPr>
        <w:t>1</w:t>
      </w:r>
      <w:r>
        <w:rPr>
          <w:rFonts w:hint="eastAsia"/>
          <w:sz w:val="24"/>
        </w:rPr>
        <w:t>. 提供所投产品制造商服务机构情况，包括地址、联系方式及技术人员数量等。</w:t>
      </w:r>
    </w:p>
    <w:p w14:paraId="321D519F">
      <w:pPr>
        <w:autoSpaceDE w:val="0"/>
        <w:autoSpaceDN w:val="0"/>
        <w:adjustRightInd w:val="0"/>
        <w:spacing w:line="360" w:lineRule="auto"/>
        <w:ind w:firstLine="480" w:firstLineChars="200"/>
        <w:rPr>
          <w:sz w:val="24"/>
        </w:rPr>
      </w:pPr>
      <w:r>
        <w:rPr>
          <w:rFonts w:hint="eastAsia"/>
          <w:sz w:val="24"/>
          <w:lang w:val="en-US" w:eastAsia="zh-CN"/>
        </w:rPr>
        <w:t>2</w:t>
      </w:r>
      <w:r>
        <w:rPr>
          <w:rFonts w:hint="eastAsia"/>
          <w:sz w:val="24"/>
        </w:rPr>
        <w:t>. 提供原厂标准的易耗品、消耗材料价格清单及折扣率，保修期后设备维修的价格清单及折扣率。</w:t>
      </w:r>
    </w:p>
    <w:p w14:paraId="09259EEC">
      <w:pPr>
        <w:autoSpaceDE w:val="0"/>
        <w:autoSpaceDN w:val="0"/>
        <w:adjustRightInd w:val="0"/>
        <w:spacing w:line="360" w:lineRule="auto"/>
        <w:ind w:firstLine="480" w:firstLineChars="200"/>
        <w:rPr>
          <w:sz w:val="24"/>
        </w:rPr>
      </w:pPr>
      <w:r>
        <w:rPr>
          <w:rFonts w:hint="eastAsia"/>
          <w:sz w:val="24"/>
          <w:lang w:val="en-US" w:eastAsia="zh-CN"/>
        </w:rPr>
        <w:t>3</w:t>
      </w:r>
      <w:r>
        <w:rPr>
          <w:rFonts w:hint="eastAsia"/>
          <w:sz w:val="24"/>
        </w:rPr>
        <w:t>. 供应商对采购人相关人员进行必要的技术和操作培训，通过集中培训、现场培训，以满足正常运行、维护和技术支持的需要。</w:t>
      </w:r>
    </w:p>
    <w:p w14:paraId="68DCD279">
      <w:pPr>
        <w:autoSpaceDE w:val="0"/>
        <w:autoSpaceDN w:val="0"/>
        <w:adjustRightInd w:val="0"/>
        <w:spacing w:line="360" w:lineRule="auto"/>
        <w:ind w:firstLine="480" w:firstLineChars="200"/>
        <w:rPr>
          <w:rFonts w:hint="eastAsia"/>
          <w:sz w:val="24"/>
        </w:rPr>
      </w:pPr>
      <w:r>
        <w:rPr>
          <w:rFonts w:hint="eastAsia"/>
          <w:sz w:val="24"/>
          <w:lang w:val="en-US" w:eastAsia="zh-CN"/>
        </w:rPr>
        <w:t>4</w:t>
      </w:r>
      <w:r>
        <w:rPr>
          <w:rFonts w:hint="eastAsia"/>
          <w:sz w:val="24"/>
        </w:rPr>
        <w:t>.</w:t>
      </w:r>
      <w:r>
        <w:rPr>
          <w:rFonts w:hint="eastAsia"/>
        </w:rPr>
        <w:t xml:space="preserve"> </w:t>
      </w:r>
      <w:r>
        <w:rPr>
          <w:rFonts w:hint="eastAsia"/>
          <w:sz w:val="24"/>
        </w:rPr>
        <w:t>供应商保证供应的设备是全新的，技术先进成熟，质量优良，符合安全标准并完全符合国家的有关规范，满足经济运行，易于维修、维护的要求，供方保证提供的技术资料和图纸清晰、完整、统一、准确并能满足设计、安装、调试、运行和维修的要求。</w:t>
      </w:r>
    </w:p>
    <w:p w14:paraId="374185F3">
      <w:pPr>
        <w:autoSpaceDE w:val="0"/>
        <w:autoSpaceDN w:val="0"/>
        <w:adjustRightInd w:val="0"/>
        <w:spacing w:line="360" w:lineRule="auto"/>
        <w:ind w:firstLine="480" w:firstLineChars="200"/>
        <w:rPr>
          <w:color w:val="000000"/>
          <w:sz w:val="24"/>
        </w:rPr>
      </w:pPr>
      <w:r>
        <w:rPr>
          <w:rFonts w:hint="eastAsia" w:cs="宋体"/>
          <w:kern w:val="0"/>
          <w:sz w:val="24"/>
          <w:szCs w:val="24"/>
        </w:rPr>
        <w:t>★</w:t>
      </w:r>
      <w:r>
        <w:rPr>
          <w:rFonts w:hint="eastAsia"/>
          <w:color w:val="000000"/>
          <w:sz w:val="24"/>
        </w:rPr>
        <w:t>（三）交货要求</w:t>
      </w:r>
    </w:p>
    <w:p w14:paraId="5D4B8BAB">
      <w:pPr>
        <w:autoSpaceDE w:val="0"/>
        <w:autoSpaceDN w:val="0"/>
        <w:adjustRightInd w:val="0"/>
        <w:spacing w:line="360" w:lineRule="auto"/>
        <w:ind w:firstLine="480" w:firstLineChars="200"/>
        <w:rPr>
          <w:sz w:val="24"/>
        </w:rPr>
      </w:pPr>
      <w:r>
        <w:rPr>
          <w:rFonts w:hint="eastAsia"/>
          <w:sz w:val="24"/>
        </w:rPr>
        <w:t>1. 交货地点：天津市行政区域内（特殊情况以合同为准）。</w:t>
      </w:r>
    </w:p>
    <w:p w14:paraId="4950B86D">
      <w:pPr>
        <w:autoSpaceDE w:val="0"/>
        <w:autoSpaceDN w:val="0"/>
        <w:adjustRightInd w:val="0"/>
        <w:spacing w:line="360" w:lineRule="auto"/>
        <w:ind w:firstLine="480" w:firstLineChars="200"/>
        <w:rPr>
          <w:sz w:val="24"/>
        </w:rPr>
      </w:pPr>
      <w:r>
        <w:rPr>
          <w:rFonts w:hint="eastAsia"/>
          <w:sz w:val="24"/>
          <w:lang w:val="en-US" w:eastAsia="zh-CN"/>
        </w:rPr>
        <w:t>2</w:t>
      </w:r>
      <w:r>
        <w:rPr>
          <w:rFonts w:hint="eastAsia"/>
          <w:sz w:val="24"/>
        </w:rPr>
        <w:t>.设备出厂铭牌的生产日期须为采购当年度。</w:t>
      </w:r>
    </w:p>
    <w:p w14:paraId="2FC2F155">
      <w:pPr>
        <w:autoSpaceDE w:val="0"/>
        <w:autoSpaceDN w:val="0"/>
        <w:adjustRightInd w:val="0"/>
        <w:spacing w:line="360" w:lineRule="auto"/>
        <w:ind w:firstLine="480" w:firstLineChars="200"/>
        <w:rPr>
          <w:sz w:val="24"/>
        </w:rPr>
      </w:pPr>
      <w:r>
        <w:rPr>
          <w:rFonts w:hint="eastAsia"/>
          <w:sz w:val="24"/>
          <w:lang w:val="en-US" w:eastAsia="zh-CN"/>
        </w:rPr>
        <w:t>3</w:t>
      </w:r>
      <w:r>
        <w:rPr>
          <w:rFonts w:hint="eastAsia"/>
          <w:sz w:val="24"/>
        </w:rPr>
        <w:t>.投标人提供的设备（含配件）应是全新的、未使用过的原装合格正品，并保证所提供货物的开箱合格率为100%，外观和内在质量都不得有任何问题。采用的是优质材料和先进工艺，并在各个方面符合合同规定的质量、规格和性能要求。合同设备经过按时、正确安装、合理操作和维护保养，在设备寿命期内运转良好。在规定的质保期内，中标单位应对由于设计、工艺或材料的缺陷或故障负责。在未验收前，货物保管、安全均由中标单位负责。</w:t>
      </w:r>
    </w:p>
    <w:p w14:paraId="6F3A6711">
      <w:pPr>
        <w:autoSpaceDE w:val="0"/>
        <w:autoSpaceDN w:val="0"/>
        <w:adjustRightInd w:val="0"/>
        <w:spacing w:line="360" w:lineRule="auto"/>
        <w:ind w:firstLine="480" w:firstLineChars="200"/>
        <w:rPr>
          <w:sz w:val="24"/>
        </w:rPr>
      </w:pPr>
      <w:r>
        <w:rPr>
          <w:rFonts w:hint="eastAsia"/>
          <w:sz w:val="24"/>
          <w:lang w:val="en-US" w:eastAsia="zh-CN"/>
        </w:rPr>
        <w:t>4</w:t>
      </w:r>
      <w:r>
        <w:rPr>
          <w:rFonts w:hint="eastAsia"/>
          <w:sz w:val="24"/>
        </w:rPr>
        <w:t>. 提供制造商完整的随机资料，包括完整的使用和维修手册等。</w:t>
      </w:r>
    </w:p>
    <w:p w14:paraId="216CCD82">
      <w:pPr>
        <w:autoSpaceDE w:val="0"/>
        <w:autoSpaceDN w:val="0"/>
        <w:adjustRightInd w:val="0"/>
        <w:spacing w:line="360" w:lineRule="auto"/>
        <w:ind w:firstLine="480" w:firstLineChars="200"/>
        <w:rPr>
          <w:color w:val="000000"/>
          <w:sz w:val="24"/>
        </w:rPr>
      </w:pPr>
      <w:r>
        <w:rPr>
          <w:rFonts w:hint="eastAsia"/>
          <w:sz w:val="24"/>
          <w:lang w:val="en-US" w:eastAsia="zh-CN"/>
        </w:rPr>
        <w:t>5</w:t>
      </w:r>
      <w:r>
        <w:rPr>
          <w:rFonts w:hint="eastAsia"/>
          <w:sz w:val="24"/>
        </w:rPr>
        <w:t>. 特别要求：交货时要求投标人</w:t>
      </w:r>
      <w:r>
        <w:rPr>
          <w:rFonts w:hint="eastAsia"/>
          <w:color w:val="000000"/>
          <w:sz w:val="24"/>
        </w:rPr>
        <w:t>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19F09A21">
      <w:pPr>
        <w:autoSpaceDE w:val="0"/>
        <w:autoSpaceDN w:val="0"/>
        <w:adjustRightInd w:val="0"/>
        <w:spacing w:line="360" w:lineRule="auto"/>
        <w:ind w:firstLine="480" w:firstLineChars="200"/>
        <w:rPr>
          <w:sz w:val="24"/>
        </w:rPr>
      </w:pPr>
      <w:r>
        <w:rPr>
          <w:rFonts w:hint="eastAsia"/>
          <w:sz w:val="24"/>
          <w:lang w:val="en-US" w:eastAsia="zh-CN"/>
        </w:rPr>
        <w:t>6</w:t>
      </w:r>
      <w:r>
        <w:rPr>
          <w:rFonts w:hint="eastAsia"/>
          <w:sz w:val="24"/>
        </w:rPr>
        <w:t>.</w:t>
      </w:r>
      <w:r>
        <w:rPr>
          <w:rFonts w:hint="eastAsia"/>
        </w:rPr>
        <w:t xml:space="preserve"> </w:t>
      </w:r>
      <w:r>
        <w:rPr>
          <w:rFonts w:hint="eastAsia"/>
          <w:sz w:val="24"/>
        </w:rPr>
        <w:t>本项目为天津市卫生健康委员会综合服务中心及部分县域医共体通过统招分签的方式进行采购，合同签订单位、送货地址、采购数量如下表所示：</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08"/>
        <w:gridCol w:w="1953"/>
        <w:gridCol w:w="2462"/>
        <w:gridCol w:w="2396"/>
        <w:gridCol w:w="900"/>
      </w:tblGrid>
      <w:tr w14:paraId="3DBB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474" w:type="pct"/>
            <w:shd w:val="clear" w:color="auto" w:fill="auto"/>
            <w:vAlign w:val="center"/>
          </w:tcPr>
          <w:p w14:paraId="732D5CA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包号</w:t>
            </w:r>
          </w:p>
        </w:tc>
        <w:tc>
          <w:tcPr>
            <w:tcW w:w="1146" w:type="pct"/>
            <w:shd w:val="clear" w:color="auto" w:fill="auto"/>
            <w:vAlign w:val="center"/>
          </w:tcPr>
          <w:p w14:paraId="13B7C4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标的名称</w:t>
            </w:r>
          </w:p>
        </w:tc>
        <w:tc>
          <w:tcPr>
            <w:tcW w:w="1445" w:type="pct"/>
            <w:shd w:val="clear" w:color="auto" w:fill="auto"/>
            <w:vAlign w:val="center"/>
          </w:tcPr>
          <w:p w14:paraId="2E7C31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合同签订单位</w:t>
            </w:r>
          </w:p>
        </w:tc>
        <w:tc>
          <w:tcPr>
            <w:tcW w:w="1406" w:type="pct"/>
            <w:shd w:val="clear" w:color="auto" w:fill="auto"/>
            <w:vAlign w:val="center"/>
          </w:tcPr>
          <w:p w14:paraId="3466B3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送货地址</w:t>
            </w:r>
          </w:p>
        </w:tc>
        <w:tc>
          <w:tcPr>
            <w:tcW w:w="528" w:type="pct"/>
            <w:shd w:val="clear" w:color="auto" w:fill="auto"/>
            <w:vAlign w:val="center"/>
          </w:tcPr>
          <w:p w14:paraId="3D8074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台数</w:t>
            </w:r>
          </w:p>
        </w:tc>
      </w:tr>
      <w:tr w14:paraId="393A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474" w:type="pct"/>
            <w:vMerge w:val="restart"/>
            <w:shd w:val="clear" w:color="auto" w:fill="auto"/>
            <w:vAlign w:val="center"/>
          </w:tcPr>
          <w:p w14:paraId="08ABCB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第一包</w:t>
            </w:r>
          </w:p>
        </w:tc>
        <w:tc>
          <w:tcPr>
            <w:tcW w:w="1146" w:type="pct"/>
            <w:shd w:val="clear" w:color="auto" w:fill="auto"/>
            <w:vAlign w:val="center"/>
          </w:tcPr>
          <w:p w14:paraId="308BBB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心电监护中央站（1）</w:t>
            </w:r>
          </w:p>
        </w:tc>
        <w:tc>
          <w:tcPr>
            <w:tcW w:w="1445" w:type="pct"/>
            <w:shd w:val="clear" w:color="auto" w:fill="auto"/>
            <w:vAlign w:val="center"/>
          </w:tcPr>
          <w:p w14:paraId="7C1287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天津市静海区医院</w:t>
            </w:r>
          </w:p>
        </w:tc>
        <w:tc>
          <w:tcPr>
            <w:tcW w:w="1406" w:type="pct"/>
            <w:shd w:val="clear" w:color="auto" w:fill="auto"/>
            <w:vAlign w:val="center"/>
          </w:tcPr>
          <w:p w14:paraId="3959AF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天津市静海区静海镇胜利南路14号</w:t>
            </w:r>
          </w:p>
        </w:tc>
        <w:tc>
          <w:tcPr>
            <w:tcW w:w="528" w:type="pct"/>
            <w:shd w:val="clear" w:color="auto" w:fill="auto"/>
            <w:vAlign w:val="center"/>
          </w:tcPr>
          <w:p w14:paraId="134B81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1套</w:t>
            </w:r>
          </w:p>
        </w:tc>
      </w:tr>
      <w:tr w14:paraId="34D5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74" w:type="pct"/>
            <w:vMerge w:val="continue"/>
            <w:shd w:val="clear" w:color="auto" w:fill="auto"/>
            <w:vAlign w:val="center"/>
          </w:tcPr>
          <w:p w14:paraId="3E7FD0BD">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146" w:type="pct"/>
            <w:shd w:val="clear" w:color="auto" w:fill="auto"/>
            <w:vAlign w:val="center"/>
          </w:tcPr>
          <w:p w14:paraId="16DCD2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心电监护中央站（2）</w:t>
            </w:r>
          </w:p>
        </w:tc>
        <w:tc>
          <w:tcPr>
            <w:tcW w:w="1445" w:type="pct"/>
            <w:shd w:val="clear" w:color="auto" w:fill="auto"/>
            <w:vAlign w:val="center"/>
          </w:tcPr>
          <w:p w14:paraId="16B3C1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天津市静海区医院</w:t>
            </w:r>
          </w:p>
        </w:tc>
        <w:tc>
          <w:tcPr>
            <w:tcW w:w="1406" w:type="pct"/>
            <w:shd w:val="clear" w:color="auto" w:fill="auto"/>
            <w:vAlign w:val="center"/>
          </w:tcPr>
          <w:p w14:paraId="422795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天津市静海区静海镇胜利南路14号</w:t>
            </w:r>
          </w:p>
        </w:tc>
        <w:tc>
          <w:tcPr>
            <w:tcW w:w="528" w:type="pct"/>
            <w:shd w:val="clear" w:color="auto" w:fill="auto"/>
            <w:vAlign w:val="center"/>
          </w:tcPr>
          <w:p w14:paraId="1A8B15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1套</w:t>
            </w:r>
          </w:p>
        </w:tc>
      </w:tr>
      <w:tr w14:paraId="64B2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474" w:type="pct"/>
            <w:vMerge w:val="continue"/>
            <w:shd w:val="clear" w:color="auto" w:fill="auto"/>
            <w:vAlign w:val="center"/>
          </w:tcPr>
          <w:p w14:paraId="70126793">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146" w:type="pct"/>
            <w:shd w:val="clear" w:color="auto" w:fill="auto"/>
            <w:vAlign w:val="center"/>
          </w:tcPr>
          <w:p w14:paraId="6D3313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监护仪（3）</w:t>
            </w:r>
          </w:p>
        </w:tc>
        <w:tc>
          <w:tcPr>
            <w:tcW w:w="1445" w:type="pct"/>
            <w:shd w:val="clear" w:color="auto" w:fill="auto"/>
            <w:vAlign w:val="center"/>
          </w:tcPr>
          <w:p w14:paraId="6EBB62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天津市宝坻区中医医院</w:t>
            </w:r>
          </w:p>
        </w:tc>
        <w:tc>
          <w:tcPr>
            <w:tcW w:w="1406" w:type="pct"/>
            <w:shd w:val="clear" w:color="auto" w:fill="auto"/>
            <w:vAlign w:val="center"/>
          </w:tcPr>
          <w:p w14:paraId="6103D6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天津市宝坻区南关大街115号</w:t>
            </w:r>
          </w:p>
        </w:tc>
        <w:tc>
          <w:tcPr>
            <w:tcW w:w="528" w:type="pct"/>
            <w:shd w:val="clear" w:color="auto" w:fill="auto"/>
            <w:vAlign w:val="center"/>
          </w:tcPr>
          <w:p w14:paraId="0846B2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6台</w:t>
            </w:r>
          </w:p>
        </w:tc>
      </w:tr>
      <w:tr w14:paraId="7D8B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74" w:type="pct"/>
            <w:shd w:val="clear" w:color="auto" w:fill="auto"/>
            <w:vAlign w:val="center"/>
          </w:tcPr>
          <w:p w14:paraId="05EFB8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第二包</w:t>
            </w:r>
          </w:p>
        </w:tc>
        <w:tc>
          <w:tcPr>
            <w:tcW w:w="1146" w:type="pct"/>
            <w:shd w:val="clear" w:color="auto" w:fill="auto"/>
            <w:vAlign w:val="center"/>
          </w:tcPr>
          <w:p w14:paraId="561A54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监护仪</w:t>
            </w:r>
          </w:p>
        </w:tc>
        <w:tc>
          <w:tcPr>
            <w:tcW w:w="1445" w:type="pct"/>
            <w:shd w:val="clear" w:color="auto" w:fill="auto"/>
            <w:vAlign w:val="center"/>
          </w:tcPr>
          <w:p w14:paraId="002624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天津市宁河区中医医院</w:t>
            </w:r>
          </w:p>
        </w:tc>
        <w:tc>
          <w:tcPr>
            <w:tcW w:w="1406" w:type="pct"/>
            <w:shd w:val="clear" w:color="auto" w:fill="auto"/>
            <w:vAlign w:val="center"/>
          </w:tcPr>
          <w:p w14:paraId="1E358E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天津市宁河区桥北街白台道8号</w:t>
            </w:r>
          </w:p>
        </w:tc>
        <w:tc>
          <w:tcPr>
            <w:tcW w:w="528" w:type="pct"/>
            <w:shd w:val="clear" w:color="auto" w:fill="auto"/>
            <w:vAlign w:val="center"/>
          </w:tcPr>
          <w:p w14:paraId="707ACB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8台</w:t>
            </w:r>
          </w:p>
        </w:tc>
      </w:tr>
      <w:tr w14:paraId="5D51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74" w:type="pct"/>
            <w:vMerge w:val="restart"/>
            <w:shd w:val="clear" w:color="auto" w:fill="auto"/>
            <w:vAlign w:val="center"/>
          </w:tcPr>
          <w:p w14:paraId="287EA7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第三包</w:t>
            </w:r>
          </w:p>
        </w:tc>
        <w:tc>
          <w:tcPr>
            <w:tcW w:w="1146" w:type="pct"/>
            <w:shd w:val="clear" w:color="auto" w:fill="auto"/>
            <w:vAlign w:val="center"/>
          </w:tcPr>
          <w:p w14:paraId="50DB5A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呼吸机（1）</w:t>
            </w:r>
          </w:p>
        </w:tc>
        <w:tc>
          <w:tcPr>
            <w:tcW w:w="1445" w:type="pct"/>
            <w:shd w:val="clear" w:color="auto" w:fill="auto"/>
            <w:vAlign w:val="center"/>
          </w:tcPr>
          <w:p w14:paraId="7176EB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天津市宝坻区中医医院</w:t>
            </w:r>
          </w:p>
        </w:tc>
        <w:tc>
          <w:tcPr>
            <w:tcW w:w="1406" w:type="pct"/>
            <w:shd w:val="clear" w:color="auto" w:fill="auto"/>
            <w:vAlign w:val="center"/>
          </w:tcPr>
          <w:p w14:paraId="094CAC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天津市宝坻区南关大街115号</w:t>
            </w:r>
          </w:p>
        </w:tc>
        <w:tc>
          <w:tcPr>
            <w:tcW w:w="528" w:type="pct"/>
            <w:shd w:val="clear" w:color="auto" w:fill="auto"/>
            <w:vAlign w:val="center"/>
          </w:tcPr>
          <w:p w14:paraId="5F5975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2台</w:t>
            </w:r>
          </w:p>
        </w:tc>
      </w:tr>
      <w:tr w14:paraId="09CE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 w:hRule="atLeast"/>
        </w:trPr>
        <w:tc>
          <w:tcPr>
            <w:tcW w:w="474" w:type="pct"/>
            <w:vMerge w:val="continue"/>
            <w:shd w:val="clear" w:color="auto" w:fill="auto"/>
            <w:vAlign w:val="center"/>
          </w:tcPr>
          <w:p w14:paraId="49666A79">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146" w:type="pct"/>
            <w:shd w:val="clear" w:color="auto" w:fill="auto"/>
            <w:vAlign w:val="center"/>
          </w:tcPr>
          <w:p w14:paraId="714A1E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呼吸机（2）</w:t>
            </w:r>
          </w:p>
        </w:tc>
        <w:tc>
          <w:tcPr>
            <w:tcW w:w="1445" w:type="pct"/>
            <w:shd w:val="clear" w:color="auto" w:fill="auto"/>
            <w:noWrap/>
            <w:vAlign w:val="center"/>
          </w:tcPr>
          <w:p w14:paraId="1937C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天津市静海区医院</w:t>
            </w:r>
          </w:p>
        </w:tc>
        <w:tc>
          <w:tcPr>
            <w:tcW w:w="1406" w:type="pct"/>
            <w:shd w:val="clear" w:color="auto" w:fill="auto"/>
            <w:vAlign w:val="center"/>
          </w:tcPr>
          <w:p w14:paraId="7666F1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天津市静海区静海镇胜利南路14号</w:t>
            </w:r>
          </w:p>
        </w:tc>
        <w:tc>
          <w:tcPr>
            <w:tcW w:w="528" w:type="pct"/>
            <w:shd w:val="clear" w:color="auto" w:fill="auto"/>
            <w:vAlign w:val="center"/>
          </w:tcPr>
          <w:p w14:paraId="76B336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12台</w:t>
            </w:r>
          </w:p>
        </w:tc>
      </w:tr>
      <w:tr w14:paraId="3FF1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74" w:type="pct"/>
            <w:shd w:val="clear" w:color="auto" w:fill="auto"/>
            <w:vAlign w:val="center"/>
          </w:tcPr>
          <w:p w14:paraId="77DDFD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第四包</w:t>
            </w:r>
          </w:p>
        </w:tc>
        <w:tc>
          <w:tcPr>
            <w:tcW w:w="1146" w:type="pct"/>
            <w:shd w:val="clear" w:color="auto" w:fill="auto"/>
            <w:vAlign w:val="center"/>
          </w:tcPr>
          <w:p w14:paraId="218A97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无创呼吸机</w:t>
            </w:r>
          </w:p>
        </w:tc>
        <w:tc>
          <w:tcPr>
            <w:tcW w:w="1445" w:type="pct"/>
            <w:shd w:val="clear" w:color="auto" w:fill="auto"/>
            <w:noWrap/>
            <w:vAlign w:val="center"/>
          </w:tcPr>
          <w:p w14:paraId="3F1A6A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天津市北辰区妇幼保健计划生育服务中心</w:t>
            </w:r>
          </w:p>
        </w:tc>
        <w:tc>
          <w:tcPr>
            <w:tcW w:w="1406" w:type="pct"/>
            <w:shd w:val="clear" w:color="auto" w:fill="auto"/>
            <w:vAlign w:val="center"/>
          </w:tcPr>
          <w:p w14:paraId="42B5D3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天津市北辰区妇幼保健计划生育服务中心（北辰区朝阳路65号）</w:t>
            </w:r>
          </w:p>
        </w:tc>
        <w:tc>
          <w:tcPr>
            <w:tcW w:w="528" w:type="pct"/>
            <w:shd w:val="clear" w:color="auto" w:fill="auto"/>
            <w:vAlign w:val="center"/>
          </w:tcPr>
          <w:p w14:paraId="47941E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Style w:val="15"/>
                <w:lang w:val="en-US" w:eastAsia="zh-CN" w:bidi="ar"/>
              </w:rPr>
              <w:t>台</w:t>
            </w:r>
          </w:p>
        </w:tc>
      </w:tr>
      <w:tr w14:paraId="4128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74" w:type="pct"/>
            <w:vMerge w:val="restart"/>
            <w:shd w:val="clear" w:color="auto" w:fill="auto"/>
            <w:vAlign w:val="center"/>
          </w:tcPr>
          <w:p w14:paraId="3029E9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第五包</w:t>
            </w:r>
          </w:p>
        </w:tc>
        <w:tc>
          <w:tcPr>
            <w:tcW w:w="1146" w:type="pct"/>
            <w:shd w:val="clear" w:color="auto" w:fill="auto"/>
            <w:vAlign w:val="center"/>
          </w:tcPr>
          <w:p w14:paraId="426205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麻醉机（1）</w:t>
            </w:r>
          </w:p>
        </w:tc>
        <w:tc>
          <w:tcPr>
            <w:tcW w:w="1445" w:type="pct"/>
            <w:shd w:val="clear" w:color="auto" w:fill="auto"/>
            <w:vAlign w:val="center"/>
          </w:tcPr>
          <w:p w14:paraId="11CBDB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天津市宝坻区中医医院</w:t>
            </w:r>
          </w:p>
        </w:tc>
        <w:tc>
          <w:tcPr>
            <w:tcW w:w="1406" w:type="pct"/>
            <w:shd w:val="clear" w:color="auto" w:fill="auto"/>
            <w:vAlign w:val="center"/>
          </w:tcPr>
          <w:p w14:paraId="5176EB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天津市宝坻区南关大街115号</w:t>
            </w:r>
          </w:p>
        </w:tc>
        <w:tc>
          <w:tcPr>
            <w:tcW w:w="528" w:type="pct"/>
            <w:shd w:val="clear" w:color="auto" w:fill="auto"/>
            <w:vAlign w:val="center"/>
          </w:tcPr>
          <w:p w14:paraId="37D678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3台</w:t>
            </w:r>
          </w:p>
        </w:tc>
      </w:tr>
      <w:tr w14:paraId="7BF9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74" w:type="pct"/>
            <w:vMerge w:val="continue"/>
            <w:shd w:val="clear" w:color="auto" w:fill="auto"/>
            <w:vAlign w:val="center"/>
          </w:tcPr>
          <w:p w14:paraId="65D0AB3C">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146" w:type="pct"/>
            <w:shd w:val="clear" w:color="auto" w:fill="auto"/>
            <w:vAlign w:val="center"/>
          </w:tcPr>
          <w:p w14:paraId="7E48FD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麻醉机（2）</w:t>
            </w:r>
          </w:p>
        </w:tc>
        <w:tc>
          <w:tcPr>
            <w:tcW w:w="1445" w:type="pct"/>
            <w:shd w:val="clear" w:color="auto" w:fill="auto"/>
            <w:vAlign w:val="center"/>
          </w:tcPr>
          <w:p w14:paraId="37F9EA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天津市静海区医院</w:t>
            </w:r>
          </w:p>
        </w:tc>
        <w:tc>
          <w:tcPr>
            <w:tcW w:w="1406" w:type="pct"/>
            <w:shd w:val="clear" w:color="auto" w:fill="auto"/>
            <w:vAlign w:val="center"/>
          </w:tcPr>
          <w:p w14:paraId="676CC0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天津市静海区静海镇胜利南路14号</w:t>
            </w:r>
          </w:p>
        </w:tc>
        <w:tc>
          <w:tcPr>
            <w:tcW w:w="528" w:type="pct"/>
            <w:shd w:val="clear" w:color="auto" w:fill="auto"/>
            <w:vAlign w:val="center"/>
          </w:tcPr>
          <w:p w14:paraId="6B9C4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1台</w:t>
            </w:r>
          </w:p>
        </w:tc>
      </w:tr>
      <w:tr w14:paraId="5E04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74" w:type="pct"/>
            <w:vMerge w:val="continue"/>
            <w:shd w:val="clear" w:color="auto" w:fill="auto"/>
            <w:vAlign w:val="center"/>
          </w:tcPr>
          <w:p w14:paraId="3F75504A">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c>
          <w:tcPr>
            <w:tcW w:w="1146" w:type="pct"/>
            <w:shd w:val="clear" w:color="auto" w:fill="auto"/>
            <w:vAlign w:val="center"/>
          </w:tcPr>
          <w:p w14:paraId="2E9368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麻醉机（3）</w:t>
            </w:r>
          </w:p>
        </w:tc>
        <w:tc>
          <w:tcPr>
            <w:tcW w:w="1445" w:type="pct"/>
            <w:shd w:val="clear" w:color="auto" w:fill="auto"/>
            <w:vAlign w:val="center"/>
          </w:tcPr>
          <w:p w14:paraId="5EC61D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天津市静海区医院</w:t>
            </w:r>
          </w:p>
        </w:tc>
        <w:tc>
          <w:tcPr>
            <w:tcW w:w="1406" w:type="pct"/>
            <w:shd w:val="clear" w:color="auto" w:fill="auto"/>
            <w:vAlign w:val="center"/>
          </w:tcPr>
          <w:p w14:paraId="700E10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天津市静海区静海镇胜利南路14号</w:t>
            </w:r>
          </w:p>
        </w:tc>
        <w:tc>
          <w:tcPr>
            <w:tcW w:w="528" w:type="pct"/>
            <w:shd w:val="clear" w:color="auto" w:fill="auto"/>
            <w:vAlign w:val="center"/>
          </w:tcPr>
          <w:p w14:paraId="5B3022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4台</w:t>
            </w:r>
          </w:p>
        </w:tc>
      </w:tr>
    </w:tbl>
    <w:p w14:paraId="1DB2B63D">
      <w:pPr>
        <w:spacing w:line="360" w:lineRule="auto"/>
        <w:ind w:firstLine="480" w:firstLineChars="20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02"/>
    <w:rsid w:val="000247DC"/>
    <w:rsid w:val="00045631"/>
    <w:rsid w:val="00045F3A"/>
    <w:rsid w:val="00050973"/>
    <w:rsid w:val="000A2D6B"/>
    <w:rsid w:val="000A6FE9"/>
    <w:rsid w:val="000C184F"/>
    <w:rsid w:val="000E2EAA"/>
    <w:rsid w:val="00110D97"/>
    <w:rsid w:val="00111F73"/>
    <w:rsid w:val="001335EE"/>
    <w:rsid w:val="00170C09"/>
    <w:rsid w:val="001D0C0D"/>
    <w:rsid w:val="001E7CF5"/>
    <w:rsid w:val="00201493"/>
    <w:rsid w:val="00244BBF"/>
    <w:rsid w:val="00270221"/>
    <w:rsid w:val="00280995"/>
    <w:rsid w:val="002964AE"/>
    <w:rsid w:val="002B21A7"/>
    <w:rsid w:val="002E519C"/>
    <w:rsid w:val="00305686"/>
    <w:rsid w:val="00306C12"/>
    <w:rsid w:val="00315235"/>
    <w:rsid w:val="003225C1"/>
    <w:rsid w:val="0033397A"/>
    <w:rsid w:val="003545AA"/>
    <w:rsid w:val="0039797A"/>
    <w:rsid w:val="003D6EFB"/>
    <w:rsid w:val="003E7311"/>
    <w:rsid w:val="00410F83"/>
    <w:rsid w:val="00412918"/>
    <w:rsid w:val="004459D2"/>
    <w:rsid w:val="0045575F"/>
    <w:rsid w:val="00483C3E"/>
    <w:rsid w:val="00493409"/>
    <w:rsid w:val="004A1288"/>
    <w:rsid w:val="004E5CED"/>
    <w:rsid w:val="004F0C45"/>
    <w:rsid w:val="005232F6"/>
    <w:rsid w:val="00535A6B"/>
    <w:rsid w:val="0057138B"/>
    <w:rsid w:val="0057587F"/>
    <w:rsid w:val="00584AB5"/>
    <w:rsid w:val="005C0E7E"/>
    <w:rsid w:val="005D55EA"/>
    <w:rsid w:val="00616E51"/>
    <w:rsid w:val="0062621F"/>
    <w:rsid w:val="00634D3F"/>
    <w:rsid w:val="00680419"/>
    <w:rsid w:val="00682E4E"/>
    <w:rsid w:val="006D17C5"/>
    <w:rsid w:val="007135F6"/>
    <w:rsid w:val="007433F3"/>
    <w:rsid w:val="007516E8"/>
    <w:rsid w:val="007A45E1"/>
    <w:rsid w:val="00845E60"/>
    <w:rsid w:val="00861373"/>
    <w:rsid w:val="00861EA9"/>
    <w:rsid w:val="008662DD"/>
    <w:rsid w:val="008A6D81"/>
    <w:rsid w:val="008C68C8"/>
    <w:rsid w:val="00913846"/>
    <w:rsid w:val="009161CD"/>
    <w:rsid w:val="0091671E"/>
    <w:rsid w:val="00922E8E"/>
    <w:rsid w:val="00930995"/>
    <w:rsid w:val="009356EC"/>
    <w:rsid w:val="00944537"/>
    <w:rsid w:val="0094738D"/>
    <w:rsid w:val="00973637"/>
    <w:rsid w:val="00990B50"/>
    <w:rsid w:val="009D6ECB"/>
    <w:rsid w:val="009F23CD"/>
    <w:rsid w:val="00A21C5C"/>
    <w:rsid w:val="00A27F3F"/>
    <w:rsid w:val="00A41839"/>
    <w:rsid w:val="00A41912"/>
    <w:rsid w:val="00A70EFC"/>
    <w:rsid w:val="00A71C25"/>
    <w:rsid w:val="00A772E5"/>
    <w:rsid w:val="00AA0AF1"/>
    <w:rsid w:val="00AB1AAA"/>
    <w:rsid w:val="00AB51C6"/>
    <w:rsid w:val="00AB72B4"/>
    <w:rsid w:val="00AE2D62"/>
    <w:rsid w:val="00AF0323"/>
    <w:rsid w:val="00B169E3"/>
    <w:rsid w:val="00B462D8"/>
    <w:rsid w:val="00B608AA"/>
    <w:rsid w:val="00BF4747"/>
    <w:rsid w:val="00C17BFA"/>
    <w:rsid w:val="00C560F1"/>
    <w:rsid w:val="00C60BAE"/>
    <w:rsid w:val="00C6316A"/>
    <w:rsid w:val="00C75C8E"/>
    <w:rsid w:val="00C82EF1"/>
    <w:rsid w:val="00CB2E82"/>
    <w:rsid w:val="00CC180E"/>
    <w:rsid w:val="00CC29E1"/>
    <w:rsid w:val="00CE1F46"/>
    <w:rsid w:val="00CE5465"/>
    <w:rsid w:val="00D17989"/>
    <w:rsid w:val="00D440D3"/>
    <w:rsid w:val="00D5625F"/>
    <w:rsid w:val="00DB3902"/>
    <w:rsid w:val="00DB519A"/>
    <w:rsid w:val="00DF5398"/>
    <w:rsid w:val="00E00018"/>
    <w:rsid w:val="00E268BE"/>
    <w:rsid w:val="00E55C1F"/>
    <w:rsid w:val="00EF0A57"/>
    <w:rsid w:val="00F11972"/>
    <w:rsid w:val="00F12DFA"/>
    <w:rsid w:val="00F435AC"/>
    <w:rsid w:val="00F50D93"/>
    <w:rsid w:val="00F73D28"/>
    <w:rsid w:val="00F80877"/>
    <w:rsid w:val="00F873E2"/>
    <w:rsid w:val="00FB491C"/>
    <w:rsid w:val="00FC126E"/>
    <w:rsid w:val="167D1103"/>
    <w:rsid w:val="26F70F71"/>
    <w:rsid w:val="32225597"/>
    <w:rsid w:val="3EC55C9F"/>
    <w:rsid w:val="4D2917DE"/>
    <w:rsid w:val="5F8A3E18"/>
    <w:rsid w:val="68144B70"/>
    <w:rsid w:val="6B2715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pPr>
    <w:rPr>
      <w:szCs w:val="20"/>
    </w:rPr>
  </w:style>
  <w:style w:type="paragraph" w:styleId="3">
    <w:name w:val="Balloon Text"/>
    <w:basedOn w:val="1"/>
    <w:semiHidden/>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4"/>
    <w:qFormat/>
    <w:uiPriority w:val="10"/>
    <w:pPr>
      <w:spacing w:before="240" w:after="60"/>
      <w:jc w:val="center"/>
      <w:outlineLvl w:val="0"/>
    </w:pPr>
    <w:rPr>
      <w:rFonts w:ascii="Cambria" w:hAnsi="Cambria" w:cs="Times New Roman"/>
      <w:b/>
      <w:bCs/>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unhideWhenUsed/>
    <w:qFormat/>
    <w:uiPriority w:val="99"/>
    <w:rPr>
      <w:color w:val="0000FF"/>
      <w:u w:val="single"/>
    </w:rPr>
  </w:style>
  <w:style w:type="character" w:customStyle="1" w:styleId="11">
    <w:name w:val="页眉 Char"/>
    <w:link w:val="5"/>
    <w:qFormat/>
    <w:uiPriority w:val="0"/>
    <w:rPr>
      <w:kern w:val="2"/>
      <w:sz w:val="18"/>
      <w:szCs w:val="18"/>
    </w:rPr>
  </w:style>
  <w:style w:type="character" w:customStyle="1" w:styleId="12">
    <w:name w:val="页脚 Char"/>
    <w:link w:val="4"/>
    <w:qFormat/>
    <w:uiPriority w:val="0"/>
    <w:rPr>
      <w:kern w:val="2"/>
      <w:sz w:val="18"/>
      <w:szCs w:val="18"/>
    </w:rPr>
  </w:style>
  <w:style w:type="paragraph" w:customStyle="1" w:styleId="1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4">
    <w:name w:val="标题 Char"/>
    <w:link w:val="6"/>
    <w:qFormat/>
    <w:uiPriority w:val="10"/>
    <w:rPr>
      <w:rFonts w:ascii="Cambria" w:hAnsi="Cambria"/>
      <w:b/>
      <w:bCs/>
      <w:kern w:val="2"/>
      <w:sz w:val="32"/>
      <w:szCs w:val="32"/>
    </w:rPr>
  </w:style>
  <w:style w:type="character" w:customStyle="1" w:styleId="15">
    <w:name w:val="font51"/>
    <w:basedOn w:val="9"/>
    <w:qFormat/>
    <w:uiPriority w:val="0"/>
    <w:rPr>
      <w:rFonts w:hint="eastAsia" w:ascii="宋体" w:hAnsi="宋体" w:eastAsia="宋体" w:cs="宋体"/>
      <w:color w:val="000000"/>
      <w:sz w:val="24"/>
      <w:szCs w:val="24"/>
      <w:u w:val="none"/>
    </w:rPr>
  </w:style>
  <w:style w:type="paragraph" w:customStyle="1" w:styleId="16">
    <w:name w:val="Default"/>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37</Pages>
  <Words>808</Words>
  <Characters>826</Characters>
  <Lines>6</Lines>
  <Paragraphs>1</Paragraphs>
  <TotalTime>0</TotalTime>
  <ScaleCrop>false</ScaleCrop>
  <LinksUpToDate>false</LinksUpToDate>
  <CharactersWithSpaces>848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2021-06-11T03:31:00Z</dcterms:created>
  <dc:creator>薛昊</dc:creator>
  <cp:lastModifiedBy>絔媣</cp:lastModifiedBy>
  <cp:lastPrinted>2012-08-27T04:05:00Z</cp:lastPrinted>
  <dcterms:modified xsi:type="dcterms:W3CDTF">2026-04-30T08:36:05Z</dcterms:modified>
  <dc:title>项目需求书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D0304D883ECE4AB399A3E0FC071A08DD_13</vt:lpwstr>
  </property>
  <property fmtid="{D5CDD505-2E9C-101B-9397-08002B2CF9AE}" pid="4" name="KSOTemplateDocerSaveRecord">
    <vt:lpwstr>eyJoZGlkIjoiMjVkZDZhOWU2ZTA4YTM2NzkxNmRmYWQ0YmIzOWE4OWYiLCJ1c2VySWQiOiIyMDkyMjYyNzYifQ==</vt:lpwstr>
  </property>
</Properties>
</file>